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534AB7"/>
          <w:sz w:val="16"/>
          <w:szCs w:val="16"/>
        </w:rPr>
        <w:t xml:space="preserve">PRAXIS POINT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IRConnect — Go-to-market strategy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534AB7"/>
                <w:sz w:val="24"/>
                <w:szCs w:val="24"/>
              </w:rPr>
              <w:t xml:space="preserve">73%</w:t>
            </w:r>
          </w:p>
          <w:p>
            <w:pPr>
              <w:spacing w:before="30"/>
            </w:pPr>
            <w:r>
              <w:rPr>
                <w:color w:val="5F5E5A"/>
                <w:sz w:val="14"/>
                <w:szCs w:val="14"/>
              </w:rPr>
              <w:t xml:space="preserve">of IR teams cite tool integration pain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F6E56"/>
                <w:sz w:val="24"/>
                <w:szCs w:val="24"/>
              </w:rPr>
              <w:t xml:space="preserve">0</w:t>
            </w:r>
          </w:p>
          <w:p>
            <w:pPr>
              <w:spacing w:before="30"/>
            </w:pPr>
            <w:r>
              <w:rPr>
                <w:color w:val="5F5E5A"/>
                <w:sz w:val="14"/>
                <w:szCs w:val="14"/>
              </w:rPr>
              <w:t xml:space="preserve">traditional vs. point-solution platforms claiming this category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534AB7"/>
                <w:sz w:val="24"/>
                <w:szCs w:val="24"/>
              </w:rPr>
              <w:t xml:space="preserve">12+</w:t>
            </w:r>
          </w:p>
          <w:p>
            <w:pPr>
              <w:spacing w:before="30"/>
            </w:pPr>
            <w:r>
              <w:rPr>
                <w:color w:val="5F5E5A"/>
                <w:sz w:val="14"/>
                <w:szCs w:val="14"/>
              </w:rPr>
              <w:t xml:space="preserve">modules built and validated against a real client</w:t>
            </w:r>
          </w:p>
        </w:tc>
      </w:tr>
    </w:tbl>
    <w:p>
      <w:pPr>
        <w:spacing w:before="100"/>
      </w:pPr>
    </w:p>
    <w:p>
      <w:pPr>
        <w:pBdr>
          <w:bottom w:val="single" w:color="D3D1C7" w:sz="4" w:space="3"/>
        </w:pBdr>
        <w:spacing w:after="110"/>
      </w:pPr>
    </w:p>
    <w:p>
      <w:pPr>
        <w:pStyle w:val="Heading1"/>
      </w:pPr>
      <w:r>
        <w:t xml:space="preserve">Positioning</w:t>
      </w:r>
    </w:p>
    <w:p>
      <w:pPr>
        <w:spacing w:after="90"/>
      </w:pPr>
      <w:r>
        <w:rPr>
          <w:sz w:val="17"/>
          <w:szCs w:val="17"/>
        </w:rPr>
        <w:t xml:space="preserve">IRConnect is the connected IR operating system for small and micro-cap public companies — sell-side, buy-side, scripts, compliance, and market intelligence in one system, built by an IR practitioner, not a generic AI vendor. The wedge: traditional agencies (ICR, Blueshirt) sell relationships and judgment but don't automate; AI platforms (Q4, Irwin, ChatFin) automate single workflows but don't connect them. IRConnect is both — judgment and automation, in one place.</w:t>
      </w:r>
    </w:p>
    <w:p>
      <w:pPr>
        <w:pStyle w:val="Heading1"/>
      </w:pPr>
      <w:r>
        <w:t xml:space="preserve">Target 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Primary: Nasdaq/NYSE-listed companies under $150M market cap with a 1–3 person IR function — too small for a full agency retainer, too complex to run on spreadsheets.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Secondary: companies currently using 2+ disconnected point tools (CRM + separate script tool + separate compliance tracking) who feel the integration pain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Beachhead: USIO as the reference deployment — real data, real compliance gates, real board-tested output.</w:t>
      </w:r>
    </w:p>
    <w:p>
      <w:pPr>
        <w:pStyle w:val="Heading1"/>
      </w:pPr>
      <w:r>
        <w:t xml:space="preserve">Pricing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Quarterly retainer tied to the earnings cycle, not a flat SaaS subscription — pre-earnings maintenance, earnings-day execution, post-earnings audit.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Positions against agency retainers (cost-competitive) and against point-tool stacking (fewer subscriptions, one bill).</w:t>
      </w:r>
    </w:p>
    <w:p>
      <w:pPr>
        <w:pStyle w:val="Heading1"/>
      </w:pPr>
      <w:r>
        <w:t xml:space="preserve">Channel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Direct outreach to small-cap IR officers via existing sell-side relationships (Roth, Ladenburg, H.C. Wainwright network already mapped through USIO deployment).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Case study content built from the USIO engagement — the market correlation methodology and post-audit discipline are genuinely differentiated and demo well.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Conference presence: same small-cap conference circuit (Roth, Planet MicroCap) IR clients already attend — sell where the buyer already is.</w:t>
      </w:r>
    </w:p>
    <w:p>
      <w:pPr>
        <w:pStyle w:val="Heading1"/>
      </w:pPr>
      <w:r>
        <w:t xml:space="preserve">Competitive wedge to lead with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“We can tell you, with evidence, whether your stock trades on your own fundamentals or on peer beta” — the market correlation methodology, not replicated in any named competitor's public materials.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“Your script is reviewed by counsel before it's reviewed by AI confidence” — compliance-first architecture (Reg FD screen, blackout enforcement, verification-gated press release drafting) as a structural differentiator, not a bolt-on.</w:t>
      </w:r>
    </w:p>
    <w:p>
      <w:pPr>
        <w:pStyle w:val="Heading1"/>
      </w:pPr>
      <w:r>
        <w:t xml:space="preserve">Phased rollout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Phase 1 (now): USIO as proof-of-concept, Praxis Point owns delivery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Phase 2 (~2 quarters): Praxis Point assumes standing maintenance for USIO; begin packaging the platform for a second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Phase 3: multi-client IRaaS model, standardized onboarding (per the Client Onboarding Checklist) and quarterly service cadence across a small book of small-cap issuers.</w:t>
      </w:r>
    </w:p>
    <w:p>
      <w:pPr>
        <w:spacing w:before="200"/>
      </w:pPr>
    </w:p>
    <w:p>
      <w:pPr>
        <w:pBdr>
          <w:bottom w:val="single" w:color="D3D1C7" w:sz="4" w:space="3"/>
        </w:pBdr>
        <w:spacing w:after="110"/>
      </w:pPr>
    </w:p>
    <w:p>
      <w:r>
        <w:rPr>
          <w:i/>
          <w:iCs/>
          <w:color w:val="5F5E5A"/>
          <w:sz w:val="14"/>
          <w:szCs w:val="14"/>
        </w:rPr>
        <w:t xml:space="preserve">Internal strategy document. Treat pricing and positioning as directional, pending leadership review.</w:t>
      </w:r>
    </w:p>
    <w:sectPr>
      <w:headerReference w:type="default" r:id="rId7"/>
      <w:footerReference w:type="default" r:id="rId8"/>
      <w:pgSz w:w="12240" w:h="15840" w:orient="portrait"/>
      <w:pgMar w:top="900" w:right="1296" w:bottom="90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5E5A"/>
        <w:sz w:val="14"/>
        <w:szCs w:val="14"/>
      </w:rPr>
      <w:t xml:space="preserve">IRConnect GTM Strategy</w:t>
    </w:r>
    <w:r>
      <w:rPr>
        <w:color w:val="5F5E5A"/>
        <w:sz w:val="14"/>
        <w:szCs w:val="14"/>
      </w:rPr>
      <w:t xml:space="preserve">Page </w:t>
    </w:r>
    <w:r>
      <w:rPr>
        <w:color w:val="5F5E5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tabs>
        <w:tab w:val="right" w:pos="9026"/>
      </w:tabs>
    </w:pPr>
    <w:r>
      <w:rPr>
        <w:color w:val="5F5E5A"/>
        <w:sz w:val="14"/>
        <w:szCs w:val="14"/>
      </w:rPr>
      <w:t xml:space="preserve">Praxis Point — IRConnect</w:t>
    </w:r>
    <w:r>
      <w:rPr>
        <w:color w:val="5F5E5A"/>
        <w:sz w:val="14"/>
        <w:szCs w:val="14"/>
      </w:rPr>
      <w:t xml:space="preserve">	Go-to-Market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5" w:before="150"/>
      <w:outlineLvl w:val="0"/>
    </w:pPr>
    <w:rPr>
      <w:rFonts w:ascii="Arial" w:cs="Arial" w:eastAsia="Arial" w:hAnsi="Arial"/>
      <w:b/>
      <w:bCs/>
      <w:color w:val="534AB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2026-06-20T00:59:16.952Z</dcterms:created>
  <dcterms:modified xsi:type="dcterms:W3CDTF">2026-06-20T00:59:16.952Z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