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18"/>
          <w:szCs w:val="18"/>
        </w:rPr>
        <w:t xml:space="preserve">PRAXIS POINT</w:t>
      </w:r>
    </w:p>
    <w:p>
      <w:pPr>
        <w:spacing w:after="100"/>
      </w:pPr>
      <w:r>
        <w:rPr>
          <w:b/>
          <w:bCs/>
          <w:sz w:val="40"/>
          <w:szCs w:val="40"/>
        </w:rPr>
        <w:t xml:space="preserve">IRConnect Training Manual</w:t>
      </w:r>
    </w:p>
    <w:p>
      <w:pPr>
        <w:spacing w:after="300"/>
      </w:pPr>
      <w:r>
        <w:rPr>
          <w:i/>
          <w:iCs/>
          <w:color w:val="5F5E5A"/>
          <w:sz w:val="20"/>
          <w:szCs w:val="20"/>
        </w:rPr>
        <w:t xml:space="preserve">An AI-assisted investor relations workflow platform — internal team reference, version 1.0</w:t>
      </w:r>
    </w:p>
    <w:p>
      <w:pPr>
        <w:pBdr>
          <w:bottom w:val="single" w:color="D3D1C7" w:sz="4" w:space="3"/>
        </w:pBdr>
        <w:spacing w:after="140"/>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IRConnect does</w:t>
      </w:r>
    </w:p>
    <w:p>
      <w:pPr>
        <w:spacing w:after="140"/>
      </w:pPr>
      <w:r>
        <w:rPr>
          <w:sz w:val="20"/>
          <w:szCs w:val="20"/>
        </w:rPr>
        <w:t xml:space="preserve">IRConnect is a connected investor relations workflow system covering sell-side analyst management, shareholder and NOBO tracking, conference/roadshow logistics, earnings script generation, market and peer correlation analysis, compliance guardrails, and standing board reporting. It is built to replace 2–5 disconnected point tools with one continuous system — the gap most IR teams report as their biggest operational pain.</w:t>
      </w:r>
    </w:p>
    <w:p>
      <w:pPr>
        <w:spacing w:after="140"/>
      </w:pPr>
      <w:r>
        <w:rPr>
          <w:sz w:val="20"/>
          <w:szCs w:val="20"/>
        </w:rPr>
        <w:t xml:space="preserve">This manual is the internal reference for Praxis Point team members deploying and operating IRConnect for a client. It covers: what to review with a new client before go-live, how each module works, the data maintenance discipline that keeps the system trustworthy, and the standing quarterly service cadence.</w:t>
      </w:r>
    </w:p>
    <w:p>
      <w:pPr>
        <w:pStyle w:val="Heading1"/>
      </w:pPr>
      <w:r>
        <w:t xml:space="preserve">2. New client onboarding checklist</w:t>
      </w:r>
    </w:p>
    <w:p>
      <w:pPr>
        <w:spacing w:after="140"/>
      </w:pPr>
      <w:r>
        <w:rPr>
          <w:sz w:val="20"/>
          <w:szCs w:val="20"/>
        </w:rPr>
        <w:t xml:space="preserve">Complete every item below before a client's first live quarterly cycle. Items marked “Blocking” must be resolved before the system can run reliably; items marked “Review” should be discussed and documented but won't stop a launch.</w:t>
      </w:r>
    </w:p>
    <w:p>
      <w:pPr>
        <w:pStyle w:val="Heading2"/>
      </w:pPr>
      <w:r>
        <w:t xml:space="preserve">2.1 Corporate &amp; financial calendar</w:t>
      </w:r>
    </w:p>
    <w:p>
      <w:pPr>
        <w:pStyle w:val="ListParagraph"/>
        <w:numPr>
          <w:ilvl w:val="0"/>
          <w:numId w:val="2"/>
        </w:numPr>
        <w:spacing w:after="70"/>
      </w:pPr>
      <w:r>
        <w:rPr>
          <w:b w:val="false"/>
          <w:bCs w:val="false"/>
          <w:sz w:val="20"/>
          <w:szCs w:val="20"/>
        </w:rPr>
        <w:t xml:space="preserve">Fiscal year end date and quarterly reporting calendar — Blocking</w:t>
      </w:r>
    </w:p>
    <w:p>
      <w:pPr>
        <w:pStyle w:val="ListParagraph"/>
        <w:numPr>
          <w:ilvl w:val="0"/>
          <w:numId w:val="2"/>
        </w:numPr>
        <w:spacing w:after="70"/>
      </w:pPr>
      <w:r>
        <w:rPr>
          <w:sz w:val="20"/>
          <w:szCs w:val="20"/>
        </w:rPr>
        <w:t xml:space="preserve">Historical earnings release dates (prior 8 quarters, for the script archive) — Blocking</w:t>
      </w:r>
    </w:p>
    <w:p>
      <w:pPr>
        <w:pStyle w:val="ListParagraph"/>
        <w:numPr>
          <w:ilvl w:val="0"/>
          <w:numId w:val="2"/>
        </w:numPr>
        <w:spacing w:after="70"/>
      </w:pPr>
      <w:r>
        <w:rPr>
          <w:sz w:val="20"/>
          <w:szCs w:val="20"/>
        </w:rPr>
        <w:t xml:space="preserve">Standing earnings call time and format (pre-market vs. post-market) — Blocking</w:t>
      </w:r>
    </w:p>
    <w:p>
      <w:pPr>
        <w:pStyle w:val="ListParagraph"/>
        <w:numPr>
          <w:ilvl w:val="0"/>
          <w:numId w:val="2"/>
        </w:numPr>
        <w:spacing w:after="70"/>
      </w:pPr>
      <w:r>
        <w:rPr>
          <w:sz w:val="20"/>
          <w:szCs w:val="20"/>
        </w:rPr>
        <w:t xml:space="preserve">Annual shareholder meeting date or typical timing — Review</w:t>
      </w:r>
    </w:p>
    <w:p>
      <w:pPr>
        <w:pStyle w:val="ListParagraph"/>
        <w:numPr>
          <w:ilvl w:val="0"/>
          <w:numId w:val="2"/>
        </w:numPr>
        <w:spacing w:after="70"/>
      </w:pPr>
      <w:r>
        <w:rPr>
          <w:sz w:val="20"/>
          <w:szCs w:val="20"/>
        </w:rPr>
        <w:t xml:space="preserve">Quiet period / blackout policy: standard length before/after earnings — Blocking</w:t>
      </w:r>
    </w:p>
    <w:p>
      <w:pPr>
        <w:pStyle w:val="Heading2"/>
      </w:pPr>
      <w:r>
        <w:t xml:space="preserve">2.2 Corporate contacts &amp; service providers</w:t>
      </w:r>
    </w:p>
    <w:p>
      <w:pPr>
        <w:pStyle w:val="ListParagraph"/>
        <w:numPr>
          <w:ilvl w:val="0"/>
          <w:numId w:val="2"/>
        </w:numPr>
        <w:spacing w:after="70"/>
      </w:pPr>
      <w:r>
        <w:rPr>
          <w:sz w:val="20"/>
          <w:szCs w:val="20"/>
        </w:rPr>
        <w:t xml:space="preserve">Transfer agent of record — required for any NOBO list request — Blocking</w:t>
      </w:r>
    </w:p>
    <w:p>
      <w:pPr>
        <w:pStyle w:val="ListParagraph"/>
        <w:numPr>
          <w:ilvl w:val="0"/>
          <w:numId w:val="2"/>
        </w:numPr>
        <w:spacing w:after="70"/>
      </w:pPr>
      <w:r>
        <w:rPr>
          <w:sz w:val="20"/>
          <w:szCs w:val="20"/>
        </w:rPr>
        <w:t xml:space="preserve">General counsel / outside securities counsel contact — required for script and disclosure sign-off gates — Blocking</w:t>
      </w:r>
    </w:p>
    <w:p>
      <w:pPr>
        <w:pStyle w:val="ListParagraph"/>
        <w:numPr>
          <w:ilvl w:val="0"/>
          <w:numId w:val="2"/>
        </w:numPr>
        <w:spacing w:after="70"/>
      </w:pPr>
      <w:r>
        <w:rPr>
          <w:sz w:val="20"/>
          <w:szCs w:val="20"/>
        </w:rPr>
        <w:t xml:space="preserve">Proxy solicitor, if different from transfer agent — Review</w:t>
      </w:r>
    </w:p>
    <w:p>
      <w:pPr>
        <w:pStyle w:val="ListParagraph"/>
        <w:numPr>
          <w:ilvl w:val="0"/>
          <w:numId w:val="2"/>
        </w:numPr>
        <w:spacing w:after="70"/>
      </w:pPr>
      <w:r>
        <w:rPr>
          <w:sz w:val="20"/>
          <w:szCs w:val="20"/>
        </w:rPr>
        <w:t xml:space="preserve">Auditor and any standing disclosure committee members — Review</w:t>
      </w:r>
    </w:p>
    <w:p>
      <w:pPr>
        <w:pStyle w:val="Heading2"/>
      </w:pPr>
      <w:r>
        <w:t xml:space="preserve">2.3 Sell-side &amp; peer group definition</w:t>
      </w:r>
    </w:p>
    <w:p>
      <w:pPr>
        <w:pStyle w:val="ListParagraph"/>
        <w:numPr>
          <w:ilvl w:val="0"/>
          <w:numId w:val="2"/>
        </w:numPr>
        <w:spacing w:after="70"/>
      </w:pPr>
      <w:r>
        <w:rPr>
          <w:sz w:val="20"/>
          <w:szCs w:val="20"/>
        </w:rPr>
        <w:t xml:space="preserve">Full current sell-side analyst roster: name, firm, email, coverage status — Blocking</w:t>
      </w:r>
    </w:p>
    <w:p>
      <w:pPr>
        <w:pStyle w:val="ListParagraph"/>
        <w:numPr>
          <w:ilvl w:val="0"/>
          <w:numId w:val="2"/>
        </w:numPr>
        <w:spacing w:after="70"/>
      </w:pPr>
      <w:r>
        <w:rPr>
          <w:sz w:val="20"/>
          <w:szCs w:val="20"/>
        </w:rPr>
        <w:t xml:space="preserve">Peer / comp group: must be defined by the company and its sell-side coverage, never assigned unilaterally by Praxis Point — Blocking</w:t>
      </w:r>
    </w:p>
    <w:p>
      <w:pPr>
        <w:pStyle w:val="ListParagraph"/>
        <w:numPr>
          <w:ilvl w:val="0"/>
          <w:numId w:val="2"/>
        </w:numPr>
        <w:spacing w:after="70"/>
      </w:pPr>
      <w:r>
        <w:rPr>
          <w:sz w:val="20"/>
          <w:szCs w:val="20"/>
        </w:rPr>
        <w:t xml:space="preserve">Any known disclosure gaps the company is already aware of vs. peers (e.g. metrics not yet reported) — Review</w:t>
      </w:r>
    </w:p>
    <w:p>
      <w:pPr>
        <w:pStyle w:val="Heading2"/>
      </w:pPr>
      <w:r>
        <w:t xml:space="preserve">2.4 Shareholder base</w:t>
      </w:r>
    </w:p>
    <w:p>
      <w:pPr>
        <w:pStyle w:val="ListParagraph"/>
        <w:numPr>
          <w:ilvl w:val="0"/>
          <w:numId w:val="2"/>
        </w:numPr>
        <w:spacing w:after="70"/>
      </w:pPr>
      <w:r>
        <w:rPr>
          <w:sz w:val="20"/>
          <w:szCs w:val="20"/>
        </w:rPr>
        <w:t xml:space="preserve">Most recent 13F/13G/13D snapshot or confirmation none exist — Blocking</w:t>
      </w:r>
    </w:p>
    <w:p>
      <w:pPr>
        <w:pStyle w:val="ListParagraph"/>
        <w:numPr>
          <w:ilvl w:val="0"/>
          <w:numId w:val="2"/>
        </w:numPr>
        <w:spacing w:after="70"/>
      </w:pPr>
      <w:r>
        <w:rPr>
          <w:sz w:val="20"/>
          <w:szCs w:val="20"/>
        </w:rPr>
        <w:t xml:space="preserve">NOBO list status: has one ever been requested; if so, when and from whom — Blocking</w:t>
      </w:r>
    </w:p>
    <w:p>
      <w:pPr>
        <w:pStyle w:val="ListParagraph"/>
        <w:numPr>
          <w:ilvl w:val="0"/>
          <w:numId w:val="2"/>
        </w:numPr>
        <w:spacing w:after="70"/>
      </w:pPr>
      <w:r>
        <w:rPr>
          <w:sz w:val="20"/>
          <w:szCs w:val="20"/>
        </w:rPr>
        <w:t xml:space="preserve">Top-20 holder list with any known tier/relationship context — Review</w:t>
      </w:r>
    </w:p>
    <w:p>
      <w:pPr>
        <w:pStyle w:val="Heading2"/>
      </w:pPr>
      <w:r>
        <w:t xml:space="preserve">2.5 Executive &amp; internal access</w:t>
      </w:r>
    </w:p>
    <w:p>
      <w:pPr>
        <w:pStyle w:val="ListParagraph"/>
        <w:numPr>
          <w:ilvl w:val="0"/>
          <w:numId w:val="2"/>
        </w:numPr>
        <w:spacing w:after="70"/>
      </w:pPr>
      <w:r>
        <w:rPr>
          <w:sz w:val="20"/>
          <w:szCs w:val="20"/>
        </w:rPr>
        <w:t xml:space="preserve">Named IR contact who will own the shared mailbox — Blocking</w:t>
      </w:r>
    </w:p>
    <w:p>
      <w:pPr>
        <w:pStyle w:val="ListParagraph"/>
        <w:numPr>
          <w:ilvl w:val="0"/>
          <w:numId w:val="2"/>
        </w:numPr>
        <w:spacing w:after="70"/>
      </w:pPr>
      <w:r>
        <w:rPr>
          <w:sz w:val="20"/>
          <w:szCs w:val="20"/>
        </w:rPr>
        <w:t xml:space="preserve">CEO and CFO calendar access for travel/callback scheduling — Blocking</w:t>
      </w:r>
    </w:p>
    <w:p>
      <w:pPr>
        <w:pStyle w:val="ListParagraph"/>
        <w:numPr>
          <w:ilvl w:val="0"/>
          <w:numId w:val="2"/>
        </w:numPr>
        <w:spacing w:after="70"/>
      </w:pPr>
      <w:r>
        <w:rPr>
          <w:sz w:val="20"/>
          <w:szCs w:val="20"/>
        </w:rPr>
        <w:t xml:space="preserve">Role-based access list: who can see shareholder data, who can trigger outbound email, who can approve scripts — Blocking</w:t>
      </w:r>
    </w:p>
    <w:p>
      <w:pPr>
        <w:pStyle w:val="ListParagraph"/>
        <w:numPr>
          <w:ilvl w:val="0"/>
          <w:numId w:val="2"/>
        </w:numPr>
        <w:spacing w:after="70"/>
      </w:pPr>
      <w:r>
        <w:rPr>
          <w:sz w:val="20"/>
          <w:szCs w:val="20"/>
        </w:rPr>
        <w:t xml:space="preserve">Existing email/calendar platform (Gmail, Outlook, etc.) for integration — Blocking</w:t>
      </w:r>
    </w:p>
    <w:p>
      <w:pPr>
        <w:pStyle w:val="Heading2"/>
      </w:pPr>
      <w:r>
        <w:t xml:space="preserve">2.6 Source-of-truth documents</w:t>
      </w:r>
    </w:p>
    <w:p>
      <w:pPr>
        <w:pStyle w:val="ListParagraph"/>
        <w:numPr>
          <w:ilvl w:val="0"/>
          <w:numId w:val="2"/>
        </w:numPr>
        <w:spacing w:after="70"/>
      </w:pPr>
      <w:r>
        <w:rPr>
          <w:sz w:val="20"/>
          <w:szCs w:val="20"/>
        </w:rPr>
        <w:t xml:space="preserve">Internal guidance model / actual results file format and naming convention — Blocking</w:t>
      </w:r>
    </w:p>
    <w:p>
      <w:pPr>
        <w:pStyle w:val="ListParagraph"/>
        <w:numPr>
          <w:ilvl w:val="0"/>
          <w:numId w:val="2"/>
        </w:numPr>
        <w:spacing w:after="70"/>
      </w:pPr>
      <w:r>
        <w:rPr>
          <w:sz w:val="20"/>
          <w:szCs w:val="20"/>
        </w:rPr>
        <w:t xml:space="preserve">Typical lag between quarter-end and final results availability — Blocking</w:t>
      </w:r>
    </w:p>
    <w:p>
      <w:pPr>
        <w:pStyle w:val="ListParagraph"/>
        <w:numPr>
          <w:ilvl w:val="0"/>
          <w:numId w:val="2"/>
        </w:numPr>
        <w:spacing w:after="70"/>
      </w:pPr>
      <w:r>
        <w:rPr>
          <w:sz w:val="20"/>
          <w:szCs w:val="20"/>
        </w:rPr>
        <w:t xml:space="preserve">Historical earnings scripts (as many quarters back as available) for the weighting archive — Review</w:t>
      </w:r>
    </w:p>
    <w:p>
      <w:pPr>
        <w:pStyle w:val="ListParagraph"/>
        <w:numPr>
          <w:ilvl w:val="0"/>
          <w:numId w:val="2"/>
        </w:numPr>
        <w:spacing w:after="70"/>
      </w:pPr>
      <w:r>
        <w:rPr>
          <w:sz w:val="20"/>
          <w:szCs w:val="20"/>
        </w:rPr>
        <w:t xml:space="preserve">Existing Q&amp;A history from prior calls, if recorded/transcribed anywhere — Review</w:t>
      </w:r>
    </w:p>
    <w:p>
      <w:r>
        <w:br w:type="page"/>
      </w:r>
    </w:p>
    <w:p>
      <w:pPr>
        <w:pStyle w:val="Heading1"/>
      </w:pPr>
      <w:r>
        <w:t xml:space="preserve">3. Module reference</w:t>
      </w:r>
    </w:p>
    <w:p>
      <w:pPr>
        <w:spacing w:after="140"/>
      </w:pPr>
      <w:r>
        <w:rPr>
          <w:sz w:val="20"/>
          <w:szCs w:val="20"/>
        </w:rPr>
        <w:t xml:space="preserve">Each module below maps to a workflow built and validated during platform development. This is a functional summary, not a full spec — see the platform documentation for field-level detail.</w:t>
      </w:r>
    </w:p>
    <w:p>
      <w:pPr>
        <w:pStyle w:val="Heading2"/>
      </w:pPr>
      <w:r>
        <w:t xml:space="preserve">3.1 Sell-side coverage &amp; model reconciliation</w:t>
      </w:r>
    </w:p>
    <w:p>
      <w:pPr>
        <w:spacing w:after="140"/>
      </w:pPr>
      <w:r>
        <w:rPr>
          <w:sz w:val="20"/>
          <w:szCs w:val="20"/>
        </w:rPr>
        <w:t xml:space="preserve">Maintains the analyst roster, automates quarterly model requests, parses inbound Excel models via the shared IR inbox, and reconciles them against the internal guidance file. Flags variance per line item and routes any unresolved gap to a human reviewer rather than guessing.</w:t>
      </w:r>
    </w:p>
    <w:p>
      <w:pPr>
        <w:pStyle w:val="Heading2"/>
      </w:pPr>
      <w:r>
        <w:t xml:space="preserve">3.2 Buy-side, NOBO &amp; shareholder callbacks</w:t>
      </w:r>
    </w:p>
    <w:p>
      <w:pPr>
        <w:spacing w:after="140"/>
      </w:pPr>
      <w:r>
        <w:rPr>
          <w:sz w:val="20"/>
          <w:szCs w:val="20"/>
        </w:rPr>
        <w:t xml:space="preserve">Tracks top institutional holders from 13F/13G data, tiers them for post-earnings callback scheduling, and matches CEO/CFO availability. NOBO data, once obtained from the transfer agent, extends this to retail and smaller holders invisible to SEC filings.</w:t>
      </w:r>
    </w:p>
    <w:p>
      <w:pPr>
        <w:pStyle w:val="Heading2"/>
      </w:pPr>
      <w:r>
        <w:t xml:space="preserve">3.3 Conferences &amp; roadshow ingestion</w:t>
      </w:r>
    </w:p>
    <w:p>
      <w:pPr>
        <w:spacing w:after="140"/>
      </w:pPr>
      <w:r>
        <w:rPr>
          <w:sz w:val="20"/>
          <w:szCs w:val="20"/>
        </w:rPr>
        <w:t xml:space="preserve">Ingests conference meeting-list emails (e.g. from Roth Capital), matches attendees against known shareholder/NOBO records, flags new contacts, and syncs confirmed meetings to executive travel calendars.</w:t>
      </w:r>
    </w:p>
    <w:p>
      <w:pPr>
        <w:pStyle w:val="Heading2"/>
      </w:pPr>
      <w:r>
        <w:t xml:space="preserve">3.4 Earnings script generation</w:t>
      </w:r>
    </w:p>
    <w:p>
      <w:pPr>
        <w:spacing w:after="140"/>
      </w:pPr>
      <w:r>
        <w:rPr>
          <w:sz w:val="20"/>
          <w:szCs w:val="20"/>
        </w:rPr>
        <w:t xml:space="preserve">Weights generation toward the company's own historical script archive (60% default) over guidance data, Q&amp;A history, and peer disclosure gaps. Requires a 'what's new' intake before each cycle to capture non-recurring events (M&amp;A, leadership changes) with materiality and growth/efficiency framing. All output is watermarked FOR COUNSEL REVIEW BEFORE RELEASE and gated through a verification pass before reaching legal.</w:t>
      </w:r>
    </w:p>
    <w:p>
      <w:pPr>
        <w:pStyle w:val="Heading2"/>
      </w:pPr>
      <w:r>
        <w:t xml:space="preserve">3.5 Q&amp;A pressure-test simulator</w:t>
      </w:r>
    </w:p>
    <w:p>
      <w:pPr>
        <w:spacing w:after="140"/>
      </w:pPr>
      <w:r>
        <w:rPr>
          <w:sz w:val="20"/>
          <w:szCs w:val="20"/>
        </w:rPr>
        <w:t xml:space="preserve">Generates realistic follow-up question chains from the client's own 3-year Q&amp;A corpus and recurring question patterns (margin pressure, guidance walk-ups, competitive positioning). Used for executive rehearsal ahead of earnings calls.</w:t>
      </w:r>
    </w:p>
    <w:p>
      <w:pPr>
        <w:pStyle w:val="Heading2"/>
      </w:pPr>
      <w:r>
        <w:t xml:space="preserve">3.6 Market &amp; peer correlation analysis</w:t>
      </w:r>
    </w:p>
    <w:p>
      <w:pPr>
        <w:spacing w:after="140"/>
      </w:pPr>
      <w:r>
        <w:rPr>
          <w:sz w:val="20"/>
          <w:szCs w:val="20"/>
        </w:rPr>
        <w:t xml:space="preserve">Tests whether the client's stock moves on its own news or on named peers' results, using a falsifiable before/after price-window methodology. Re-run each quarter as named peers report. Also tracks valuation multiples (P/S, EV/EBITDA) vs. a company- and sell-side-defined comp group.</w:t>
      </w:r>
    </w:p>
    <w:p>
      <w:pPr>
        <w:pStyle w:val="Heading2"/>
      </w:pPr>
      <w:r>
        <w:t xml:space="preserve">3.7 Daily ecosystem &amp; compliance monitoring</w:t>
      </w:r>
    </w:p>
    <w:p>
      <w:pPr>
        <w:spacing w:after="140"/>
      </w:pPr>
      <w:r>
        <w:rPr>
          <w:sz w:val="20"/>
          <w:szCs w:val="20"/>
        </w:rPr>
        <w:t xml:space="preserve">Runs a tiered daily scan (Tier 1: direct competitor events, surfaced immediately; Tier 2–4: lower urgency, archived) plus stock price/volume and media-mention monitoring. Includes Reg FD screening on callback content, blackout-period scheduling enforcement, and an all-employee blackout notice trigger.</w:t>
      </w:r>
    </w:p>
    <w:p>
      <w:pPr>
        <w:pStyle w:val="Heading2"/>
      </w:pPr>
      <w:r>
        <w:t xml:space="preserve">3.8 Standing reports</w:t>
      </w:r>
    </w:p>
    <w:p>
      <w:pPr>
        <w:spacing w:after="140"/>
      </w:pPr>
      <w:r>
        <w:rPr>
          <w:sz w:val="20"/>
          <w:szCs w:val="20"/>
        </w:rPr>
        <w:t xml:space="preserve">Quarterly IR Board Package (one page plus comp-sheet appendix) and the IR Risk Register (a living document, updated continuously, reviewed each board meeting) are the two standing client deliverables. Both pull from the modules above rather than being manually assembled each cycle.</w:t>
      </w:r>
    </w:p>
    <w:p>
      <w:r>
        <w:br w:type="page"/>
      </w:r>
    </w:p>
    <w:p>
      <w:pPr>
        <w:pStyle w:val="Heading1"/>
      </w:pPr>
      <w:r>
        <w:t xml:space="preserve">4. Data maintenance discipline</w:t>
      </w:r>
    </w:p>
    <w:p>
      <w:pPr>
        <w:spacing w:after="140"/>
      </w:pPr>
      <w:r>
        <w:rPr>
          <w:sz w:val="20"/>
          <w:szCs w:val="20"/>
        </w:rPr>
        <w:t xml:space="preserve">The platform's reliability depends entirely on this discipline being run, not on any single feature. Treat this section as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D3D1C7" w:sz="2"/>
              <w:left w:val="single" w:color="D3D1C7" w:sz="2"/>
              <w:bottom w:val="single" w:color="D3D1C7" w:sz="2"/>
              <w:right w:val="single" w:color="D3D1C7" w:sz="2"/>
            </w:tcBorders>
            <w:shd w:fill="2C2C2A" w:val="clear"/>
            <w:tcMar>
              <w:top w:type="dxa" w:w="70"/>
              <w:left w:type="dxa" w:w="100"/>
              <w:bottom w:type="dxa" w:w="70"/>
              <w:right w:type="dxa" w:w="100"/>
            </w:tcMar>
          </w:tcPr>
          <w:p>
            <w:r>
              <w:rPr>
                <w:b/>
                <w:bCs/>
                <w:color w:val="FFFFFF"/>
                <w:sz w:val="18"/>
                <w:szCs w:val="18"/>
              </w:rPr>
              <w:t xml:space="preserve">Dataset</w:t>
            </w:r>
          </w:p>
        </w:tc>
        <w:tc>
          <w:tcPr>
            <w:tcW w:type="dxa" w:w="2080"/>
            <w:tcBorders>
              <w:top w:val="single" w:color="D3D1C7" w:sz="2"/>
              <w:left w:val="single" w:color="D3D1C7" w:sz="2"/>
              <w:bottom w:val="single" w:color="D3D1C7" w:sz="2"/>
              <w:right w:val="single" w:color="D3D1C7" w:sz="2"/>
            </w:tcBorders>
            <w:shd w:fill="2C2C2A" w:val="clear"/>
            <w:tcMar>
              <w:top w:type="dxa" w:w="70"/>
              <w:left w:type="dxa" w:w="100"/>
              <w:bottom w:type="dxa" w:w="70"/>
              <w:right w:type="dxa" w:w="100"/>
            </w:tcMar>
          </w:tcPr>
          <w:p>
            <w:r>
              <w:rPr>
                <w:b/>
                <w:bCs/>
                <w:color w:val="FFFFFF"/>
                <w:sz w:val="18"/>
                <w:szCs w:val="18"/>
              </w:rPr>
              <w:t xml:space="preserve">Cadence</w:t>
            </w:r>
          </w:p>
        </w:tc>
        <w:tc>
          <w:tcPr>
            <w:tcW w:type="dxa" w:w="4160"/>
            <w:tcBorders>
              <w:top w:val="single" w:color="D3D1C7" w:sz="2"/>
              <w:left w:val="single" w:color="D3D1C7" w:sz="2"/>
              <w:bottom w:val="single" w:color="D3D1C7" w:sz="2"/>
              <w:right w:val="single" w:color="D3D1C7" w:sz="2"/>
            </w:tcBorders>
            <w:shd w:fill="2C2C2A" w:val="clear"/>
            <w:tcMar>
              <w:top w:type="dxa" w:w="70"/>
              <w:left w:type="dxa" w:w="100"/>
              <w:bottom w:type="dxa" w:w="70"/>
              <w:right w:type="dxa" w:w="100"/>
            </w:tcMar>
          </w:tcPr>
          <w:p>
            <w:r>
              <w:rPr>
                <w:b/>
                <w:bCs/>
                <w:color w:val="FFFFFF"/>
                <w:sz w:val="18"/>
                <w:szCs w:val="18"/>
              </w:rPr>
              <w:t xml:space="preserve">Why</w:t>
            </w:r>
          </w:p>
        </w:tc>
      </w:tr>
      <w:tr>
        <w:tc>
          <w:tcPr>
            <w:tcW w:type="dxa" w:w="312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Script archive</w:t>
            </w:r>
          </w:p>
        </w:tc>
        <w:tc>
          <w:tcPr>
            <w:tcW w:type="dxa" w:w="208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Every call</w:t>
            </w:r>
          </w:p>
        </w:tc>
        <w:tc>
          <w:tcPr>
            <w:tcW w:type="dxa" w:w="416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5F5E5A"/>
                <w:sz w:val="19"/>
                <w:szCs w:val="19"/>
              </w:rPr>
              <w:t xml:space="preserve">Stale archive means the generated voice drifts from how execs currently talk</w:t>
            </w:r>
          </w:p>
        </w:tc>
      </w:tr>
      <w:tr>
        <w:tc>
          <w:tcPr>
            <w:tcW w:type="dxa" w:w="312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Actual results / guidance file</w:t>
            </w:r>
          </w:p>
        </w:tc>
        <w:tc>
          <w:tcPr>
            <w:tcW w:type="dxa" w:w="208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Every quarter</w:t>
            </w:r>
          </w:p>
        </w:tc>
        <w:tc>
          <w:tcPr>
            <w:tcW w:type="dxa" w:w="416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5F5E5A"/>
                <w:sz w:val="19"/>
                <w:szCs w:val="19"/>
              </w:rPr>
              <w:t xml:space="preserve">Must match the press release exactly; gated by the standard reporting lag</w:t>
            </w:r>
          </w:p>
        </w:tc>
      </w:tr>
      <w:tr>
        <w:tc>
          <w:tcPr>
            <w:tcW w:type="dxa" w:w="312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Q&amp;A database</w:t>
            </w:r>
          </w:p>
        </w:tc>
        <w:tc>
          <w:tcPr>
            <w:tcW w:type="dxa" w:w="208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Every callback</w:t>
            </w:r>
          </w:p>
        </w:tc>
        <w:tc>
          <w:tcPr>
            <w:tcW w:type="dxa" w:w="416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5F5E5A"/>
                <w:sz w:val="19"/>
                <w:szCs w:val="19"/>
              </w:rPr>
              <w:t xml:space="preserve">Recurring-theme detection only works if every call is indexed</w:t>
            </w:r>
          </w:p>
        </w:tc>
      </w:tr>
      <w:tr>
        <w:tc>
          <w:tcPr>
            <w:tcW w:type="dxa" w:w="312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Peer / comp roster</w:t>
            </w:r>
          </w:p>
        </w:tc>
        <w:tc>
          <w:tcPr>
            <w:tcW w:type="dxa" w:w="208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Monthly</w:t>
            </w:r>
          </w:p>
        </w:tc>
        <w:tc>
          <w:tcPr>
            <w:tcW w:type="dxa" w:w="416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5F5E5A"/>
                <w:sz w:val="19"/>
                <w:szCs w:val="19"/>
              </w:rPr>
              <w:t xml:space="preserve">Entities can be acquired or delisted between quarters — verify status before each report</w:t>
            </w:r>
          </w:p>
        </w:tc>
      </w:tr>
      <w:tr>
        <w:tc>
          <w:tcPr>
            <w:tcW w:type="dxa" w:w="312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Shareholder / NOBO data</w:t>
            </w:r>
          </w:p>
        </w:tc>
        <w:tc>
          <w:tcPr>
            <w:tcW w:type="dxa" w:w="208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2C2C2A"/>
                <w:sz w:val="19"/>
                <w:szCs w:val="19"/>
              </w:rPr>
              <w:t xml:space="preserve">Quarterly + annual meeting</w:t>
            </w:r>
          </w:p>
        </w:tc>
        <w:tc>
          <w:tcPr>
            <w:tcW w:type="dxa" w:w="4160"/>
            <w:tcBorders>
              <w:top w:val="single" w:color="D3D1C7" w:sz="2"/>
              <w:left w:val="single" w:color="D3D1C7" w:sz="2"/>
              <w:bottom w:val="single" w:color="D3D1C7" w:sz="2"/>
              <w:right w:val="single" w:color="D3D1C7" w:sz="2"/>
            </w:tcBorders>
            <w:tcMar>
              <w:top w:type="dxa" w:w="60"/>
              <w:left w:type="dxa" w:w="100"/>
              <w:bottom w:type="dxa" w:w="60"/>
              <w:right w:type="dxa" w:w="100"/>
            </w:tcMar>
          </w:tcPr>
          <w:p>
            <w:r>
              <w:rPr>
                <w:b w:val="false"/>
                <w:bCs w:val="false"/>
                <w:color w:val="5F5E5A"/>
                <w:sz w:val="19"/>
                <w:szCs w:val="19"/>
              </w:rPr>
              <w:t xml:space="preserve">Ownership changes; NOBO should be refreshed ahead of proxy mailing</w:t>
            </w:r>
          </w:p>
        </w:tc>
      </w:tr>
    </w:tbl>
    <w:p>
      <w:pPr>
        <w:spacing w:after="0"/>
      </w:pPr>
      <w:r>
        <w:rPr>
          <w:sz w:val="20"/>
          <w:szCs w:val="20"/>
        </w:rPr>
        <w:t xml:space="preserve">Before every script generation, run the dataset health check: is the most recent call in the archive, is the guidance file current (not last quarter's, accidentally reused), and has any tracked peer changed status since the last check. This is a blocking gate, equivalent in importance to the counsel sign-off gate.</w:t>
      </w:r>
    </w:p>
    <w:p>
      <w:r>
        <w:br w:type="page"/>
      </w:r>
    </w:p>
    <w:p>
      <w:pPr>
        <w:pStyle w:val="Heading1"/>
      </w:pPr>
      <w:r>
        <w:t xml:space="preserve">5. Quarterly service cadence</w:t>
      </w:r>
    </w:p>
    <w:p>
      <w:pPr>
        <w:spacing w:after="140"/>
      </w:pPr>
      <w:r>
        <w:rPr>
          <w:sz w:val="20"/>
          <w:szCs w:val="20"/>
        </w:rPr>
        <w:t xml:space="preserve">The standing engagement model: quarterly maintenance and audit, tied to the earnings cycle, with material items flagged in between via the daily monitor rather than held until the next check-in.</w:t>
      </w:r>
    </w:p>
    <w:p>
      <w:pPr>
        <w:pStyle w:val="Heading2"/>
      </w:pPr>
      <w:r>
        <w:t xml:space="preserve">Pre-earnings</w:t>
      </w:r>
    </w:p>
    <w:p>
      <w:pPr>
        <w:pStyle w:val="ListParagraph"/>
        <w:numPr>
          <w:ilvl w:val="0"/>
          <w:numId w:val="2"/>
        </w:numPr>
        <w:spacing w:after="70"/>
      </w:pPr>
      <w:r>
        <w:rPr>
          <w:sz w:val="20"/>
          <w:szCs w:val="20"/>
        </w:rPr>
        <w:t xml:space="preserve">Refresh peer/competitor roster and verify entity status</w:t>
      </w:r>
    </w:p>
    <w:p>
      <w:pPr>
        <w:pStyle w:val="ListParagraph"/>
        <w:numPr>
          <w:ilvl w:val="0"/>
          <w:numId w:val="2"/>
        </w:numPr>
        <w:spacing w:after="70"/>
      </w:pPr>
      <w:r>
        <w:rPr>
          <w:sz w:val="20"/>
          <w:szCs w:val="20"/>
        </w:rPr>
        <w:t xml:space="preserve">Confirm guidance file matches the quarter being reported</w:t>
      </w:r>
    </w:p>
    <w:p>
      <w:pPr>
        <w:pStyle w:val="ListParagraph"/>
        <w:numPr>
          <w:ilvl w:val="0"/>
          <w:numId w:val="2"/>
        </w:numPr>
        <w:spacing w:after="70"/>
      </w:pPr>
      <w:r>
        <w:rPr>
          <w:sz w:val="20"/>
          <w:szCs w:val="20"/>
        </w:rPr>
        <w:t xml:space="preserve">Run dataset health check before script generation</w:t>
      </w:r>
    </w:p>
    <w:p>
      <w:pPr>
        <w:pStyle w:val="ListParagraph"/>
        <w:numPr>
          <w:ilvl w:val="0"/>
          <w:numId w:val="2"/>
        </w:numPr>
        <w:spacing w:after="70"/>
      </w:pPr>
      <w:r>
        <w:rPr>
          <w:sz w:val="20"/>
          <w:szCs w:val="20"/>
        </w:rPr>
        <w:t xml:space="preserve">Verify blackout calendar is current and the employee notice is scheduled</w:t>
      </w:r>
    </w:p>
    <w:p>
      <w:pPr>
        <w:pStyle w:val="Heading2"/>
      </w:pPr>
      <w:r>
        <w:t xml:space="preserve">Earnings day</w:t>
      </w:r>
    </w:p>
    <w:p>
      <w:pPr>
        <w:pStyle w:val="ListParagraph"/>
        <w:numPr>
          <w:ilvl w:val="0"/>
          <w:numId w:val="2"/>
        </w:numPr>
        <w:spacing w:after="70"/>
      </w:pPr>
      <w:r>
        <w:rPr>
          <w:sz w:val="20"/>
          <w:szCs w:val="20"/>
        </w:rPr>
        <w:t xml:space="preserve">Script delivered, call recorded</w:t>
      </w:r>
    </w:p>
    <w:p>
      <w:pPr>
        <w:pStyle w:val="ListParagraph"/>
        <w:numPr>
          <w:ilvl w:val="0"/>
          <w:numId w:val="2"/>
        </w:numPr>
        <w:spacing w:after="70"/>
      </w:pPr>
      <w:r>
        <w:rPr>
          <w:sz w:val="20"/>
          <w:szCs w:val="20"/>
        </w:rPr>
        <w:t xml:space="preserve">Callbacks scheduled and executed per tier</w:t>
      </w:r>
    </w:p>
    <w:p>
      <w:pPr>
        <w:pStyle w:val="ListParagraph"/>
        <w:numPr>
          <w:ilvl w:val="0"/>
          <w:numId w:val="2"/>
        </w:numPr>
        <w:spacing w:after="70"/>
      </w:pPr>
      <w:r>
        <w:rPr>
          <w:sz w:val="20"/>
          <w:szCs w:val="20"/>
        </w:rPr>
        <w:t xml:space="preserve">Q&amp;A captured and indexed same-day</w:t>
      </w:r>
    </w:p>
    <w:p>
      <w:pPr>
        <w:pStyle w:val="Heading2"/>
      </w:pPr>
      <w:r>
        <w:t xml:space="preserve">Post-earnings</w:t>
      </w:r>
    </w:p>
    <w:p>
      <w:pPr>
        <w:pStyle w:val="ListParagraph"/>
        <w:numPr>
          <w:ilvl w:val="0"/>
          <w:numId w:val="2"/>
        </w:numPr>
        <w:spacing w:after="70"/>
      </w:pPr>
      <w:r>
        <w:rPr>
          <w:sz w:val="20"/>
          <w:szCs w:val="20"/>
        </w:rPr>
        <w:t xml:space="preserve">Run the post-call audit scorecard (expected vs. actual delivery)</w:t>
      </w:r>
    </w:p>
    <w:p>
      <w:pPr>
        <w:pStyle w:val="ListParagraph"/>
        <w:numPr>
          <w:ilvl w:val="0"/>
          <w:numId w:val="2"/>
        </w:numPr>
        <w:spacing w:after="70"/>
      </w:pPr>
      <w:r>
        <w:rPr>
          <w:sz w:val="20"/>
          <w:szCs w:val="20"/>
        </w:rPr>
        <w:t xml:space="preserve">Re-run market correlation test against any peer that reported in the window</w:t>
      </w:r>
    </w:p>
    <w:p>
      <w:pPr>
        <w:pStyle w:val="ListParagraph"/>
        <w:numPr>
          <w:ilvl w:val="0"/>
          <w:numId w:val="2"/>
        </w:numPr>
        <w:spacing w:after="70"/>
      </w:pPr>
      <w:r>
        <w:rPr>
          <w:sz w:val="20"/>
          <w:szCs w:val="20"/>
        </w:rPr>
        <w:t xml:space="preserve">Update the peer disclosure gap tracker</w:t>
      </w:r>
    </w:p>
    <w:p>
      <w:pPr>
        <w:pStyle w:val="ListParagraph"/>
        <w:numPr>
          <w:ilvl w:val="0"/>
          <w:numId w:val="2"/>
        </w:numPr>
        <w:spacing w:after="70"/>
      </w:pPr>
      <w:r>
        <w:rPr>
          <w:sz w:val="20"/>
          <w:szCs w:val="20"/>
        </w:rPr>
        <w:t xml:space="preserve">Refresh the Quarterly IR Board Package and IR Risk Register</w:t>
      </w:r>
    </w:p>
    <w:p>
      <w:pPr>
        <w:pStyle w:val="ListParagraph"/>
        <w:numPr>
          <w:ilvl w:val="0"/>
          <w:numId w:val="2"/>
        </w:numPr>
        <w:spacing w:after="70"/>
      </w:pPr>
      <w:r>
        <w:rPr>
          <w:sz w:val="20"/>
          <w:szCs w:val="20"/>
        </w:rPr>
        <w:t xml:space="preserve">Feed audit findings into next cycle's script weighting</w:t>
      </w:r>
    </w:p>
    <w:p>
      <w:pPr>
        <w:spacing w:before="300"/>
      </w:pPr>
    </w:p>
    <w:p>
      <w:pPr>
        <w:pBdr>
          <w:bottom w:val="single" w:color="D3D1C7" w:sz="4" w:space="3"/>
        </w:pBdr>
        <w:spacing w:after="140"/>
      </w:pPr>
    </w:p>
    <w:p>
      <w:r>
        <w:rPr>
          <w:i/>
          <w:iCs/>
          <w:color w:val="5F5E5A"/>
          <w:sz w:val="16"/>
          <w:szCs w:val="16"/>
        </w:rPr>
        <w:t xml:space="preserve">Internal document. Not for client distribution without Praxis Point review.</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F5E5A"/>
        <w:sz w:val="16"/>
        <w:szCs w:val="16"/>
      </w:rPr>
      <w:t xml:space="preserve">IRConnect Training Manual v1.0</w:t>
    </w: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9026"/>
      </w:tabs>
    </w:pPr>
    <w:r>
      <w:rPr>
        <w:color w:val="5F5E5A"/>
        <w:sz w:val="16"/>
        <w:szCs w:val="16"/>
      </w:rPr>
      <w:t xml:space="preserve">Praxis Point — IRConnect</w:t>
    </w:r>
    <w:r>
      <w:rPr>
        <w:color w:val="5F5E5A"/>
        <w:sz w:val="16"/>
        <w:szCs w:val="16"/>
      </w:rPr>
      <w:t xml:space="preserve">	Internal — Team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34AB7"/>
      <w:sz w:val="30"/>
      <w:szCs w:val="30"/>
    </w:rPr>
  </w:style>
  <w:style w:type="paragraph" w:styleId="Heading2">
    <w:name w:val="Heading 2"/>
    <w:basedOn w:val="Normal"/>
    <w:next w:val="Normal"/>
    <w:qFormat/>
    <w:pPr>
      <w:spacing w:after="110" w:before="260"/>
      <w:outlineLvl w:val="1"/>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2026-06-20T00:58:01.772Z</dcterms:created>
  <dcterms:modified xsi:type="dcterms:W3CDTF">2026-06-20T00:58:01.772Z</dcterms:modified>
</cp:coreProperties>
</file>

<file path=docProps/custom.xml><?xml version="1.0" encoding="utf-8"?>
<Properties xmlns="http://schemas.openxmlformats.org/officeDocument/2006/custom-properties" xmlns:vt="http://schemas.openxmlformats.org/officeDocument/2006/docPropsVTypes"/>
</file>