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6223F"/>
          <w:sz w:val="52"/>
          <w:szCs w:val="52"/>
        </w:rPr>
        <w:t xml:space="preserve">PRAXIS POINT ADVISORY</w:t>
      </w:r>
    </w:p>
    <w:p>
      <w:pPr>
        <w:spacing w:after="80" w:before="120"/>
        <w:jc w:val="center"/>
      </w:pPr>
      <w:r>
        <w:rPr>
          <w:color w:val="3A4356"/>
          <w:sz w:val="28"/>
          <w:szCs w:val="28"/>
        </w:rPr>
        <w:t xml:space="preserve">Website Copy — Full Page-by-Page Content</w:t>
      </w:r>
    </w:p>
    <w:p>
      <w:pPr>
        <w:spacing w:before="300"/>
        <w:jc w:val="center"/>
      </w:pPr>
      <w:r>
        <w:rPr>
          <w:color w:val="666666"/>
          <w:sz w:val="20"/>
          <w:szCs w:val="20"/>
        </w:rPr>
        <w:t xml:space="preserve">Companion to the 5 standalone HTML pages (index / platform / services / about / contact)</w:t>
      </w:r>
    </w:p>
    <w:p>
      <w:pPr>
        <w:jc w:val="center"/>
      </w:pPr>
      <w:r>
        <w:rPr>
          <w:color w:val="666666"/>
          <w:sz w:val="20"/>
          <w:szCs w:val="20"/>
        </w:rPr>
        <w:t xml:space="preserve">Copy/paste source for whatever CMS the site is rebuilt in — content only, no layout markup</w:t>
      </w:r>
    </w:p>
    <w:p>
      <w:r>
        <w:br w:type="page"/>
      </w:r>
    </w:p>
    <w:p>
      <w:pPr>
        <w:pStyle w:val="Heading1"/>
        <w:spacing w:after="160" w:before="200"/>
      </w:pPr>
      <w:r>
        <w:rPr>
          <w:b/>
          <w:bCs/>
          <w:color w:val="16223F"/>
          <w:sz w:val="32"/>
          <w:szCs w:val="32"/>
        </w:rPr>
        <w:t xml:space="preserve">Page 1 — Home (index.html)</w:t>
      </w:r>
    </w:p>
    <w:tbl>
      <w:tblPr>
        <w:tblW w:type="pct" w:w="100%"/>
        <w:tblBorders>
          <w:top w:val="single" w:color="C9BFA5" w:sz="4"/>
          <w:left w:val="single" w:color="C9BFA5" w:sz="4"/>
          <w:bottom w:val="single" w:color="C9BFA5" w:sz="4"/>
          <w:right w:val="single" w:color="C9BFA5" w:sz="4"/>
          <w:insideH w:val="none" w:color="FFFFFF" w:sz="0"/>
          <w:insideV w:val="none" w:color="FFFFFF" w:sz="0"/>
        </w:tblBorders>
      </w:tblPr>
      <w:tblGrid>
        <w:gridCol w:w="100"/>
      </w:tblGrid>
      <w:tr>
        <w:tc>
          <w:tcPr>
            <w:tcW w:type="pct" w:w="100%"/>
            <w:shd w:fill="F3EFE6" w:val="clear"/>
            <w:tcMar>
              <w:top w:type="dxa" w:w="120"/>
              <w:left w:type="dxa" w:w="160"/>
              <w:bottom w:type="dxa" w:w="120"/>
              <w:right w:type="dxa" w:w="160"/>
            </w:tcMar>
          </w:tcPr>
          <w:p>
            <w:pPr>
              <w:spacing w:after="40"/>
            </w:pPr>
            <w:r>
              <w:rPr>
                <w:b/>
                <w:bCs/>
                <w:color w:val="9C7A34"/>
                <w:sz w:val="17"/>
                <w:szCs w:val="17"/>
              </w:rPr>
              <w:t xml:space="preserve">PAGE TITLE (browser tab)</w:t>
            </w:r>
          </w:p>
          <w:p>
            <w:pPr>
              <w:spacing w:after="100"/>
            </w:pPr>
            <w:r>
              <w:rPr>
                <w:color w:val="222222"/>
                <w:sz w:val="19"/>
                <w:szCs w:val="19"/>
              </w:rPr>
              <w:t xml:space="preserve">Praxis Point Advisory | Investor Relations, Built Like Enterprise Software</w:t>
            </w:r>
          </w:p>
          <w:p>
            <w:pPr>
              <w:spacing w:after="40"/>
            </w:pPr>
            <w:r>
              <w:rPr>
                <w:b/>
                <w:bCs/>
                <w:color w:val="9C7A34"/>
                <w:sz w:val="17"/>
                <w:szCs w:val="17"/>
              </w:rPr>
              <w:t xml:space="preserve">META DESCRIPTION</w:t>
            </w:r>
          </w:p>
          <w:p>
            <w:r>
              <w:rPr>
                <w:color w:val="222222"/>
                <w:sz w:val="19"/>
                <w:szCs w:val="19"/>
              </w:rPr>
              <w:t xml:space="preserve">Praxis Point Advisory pairs 25+ years of Wall Street and IPO experience with a proprietary IR platform — real investor scoring, guidance analytics, and risk monitoring, not just decks and calls.</w:t>
            </w:r>
          </w:p>
        </w:tc>
      </w:tr>
    </w:tbl>
    <w:p>
      <w:pPr>
        <w:spacing w:after="80"/>
      </w:pPr>
    </w:p>
    <w:p>
      <w:pPr>
        <w:pStyle w:val="Heading2"/>
        <w:spacing w:after="100" w:before="260"/>
      </w:pPr>
      <w:r>
        <w:rPr>
          <w:b/>
          <w:bCs/>
          <w:color w:val="16223F"/>
          <w:sz w:val="24"/>
          <w:szCs w:val="24"/>
        </w:rPr>
        <w:t xml:space="preserve">Hero</w:t>
      </w:r>
    </w:p>
    <w:p>
      <w:pPr>
        <w:spacing w:after="60" w:before="160"/>
      </w:pPr>
      <w:r>
        <w:rPr>
          <w:b/>
          <w:bCs/>
          <w:color w:val="3A4356"/>
          <w:sz w:val="21"/>
          <w:szCs w:val="21"/>
        </w:rPr>
        <w:t xml:space="preserve">Eyebrow</w:t>
      </w:r>
    </w:p>
    <w:p>
      <w:pPr>
        <w:spacing w:after="100"/>
      </w:pPr>
      <w:r>
        <w:rPr>
          <w:i w:val="false"/>
          <w:iCs w:val="false"/>
          <w:color w:val="222222"/>
          <w:sz w:val="21"/>
          <w:szCs w:val="21"/>
        </w:rPr>
        <w:t xml:space="preserve">Investor Relations &amp; IPO Advisory for Technology Companies</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Investor relations, built like enterprise software.</w:t>
      </w:r>
    </w:p>
    <w:p>
      <w:pPr>
        <w:spacing w:after="60" w:before="160"/>
      </w:pPr>
      <w:r>
        <w:rPr>
          <w:b/>
          <w:bCs/>
          <w:color w:val="3A4356"/>
          <w:sz w:val="21"/>
          <w:szCs w:val="21"/>
        </w:rPr>
        <w:t xml:space="preserve">Subhead</w:t>
      </w:r>
    </w:p>
    <w:p>
      <w:pPr>
        <w:spacing w:after="100"/>
      </w:pPr>
      <w:r>
        <w:rPr>
          <w:i w:val="false"/>
          <w:iCs w:val="false"/>
          <w:color w:val="222222"/>
          <w:sz w:val="21"/>
          <w:szCs w:val="21"/>
        </w:rPr>
        <w:t xml:space="preserve">Praxis Point Advisory pairs 25+ years of Wall Street and IPO experience with a working IR platform — real investor scoring, guidance analytics, and risk monitoring, not just decks and phone calls.</w:t>
      </w:r>
    </w:p>
    <w:p>
      <w:pPr>
        <w:spacing w:after="60" w:before="160"/>
      </w:pPr>
      <w:r>
        <w:rPr>
          <w:b/>
          <w:bCs/>
          <w:color w:val="3A4356"/>
          <w:sz w:val="21"/>
          <w:szCs w:val="21"/>
        </w:rPr>
        <w:t xml:space="preserve">CTAs</w:t>
      </w:r>
    </w:p>
    <w:p>
      <w:pPr>
        <w:spacing w:after="100"/>
      </w:pPr>
      <w:r>
        <w:rPr>
          <w:i w:val="false"/>
          <w:iCs w:val="false"/>
          <w:color w:val="222222"/>
          <w:sz w:val="21"/>
          <w:szCs w:val="21"/>
        </w:rPr>
        <w:t xml:space="preserve">Primary: "Schedule a Strategy Call"  ·  Secondary: "See the Platform"</w:t>
      </w:r>
    </w:p>
    <w:p>
      <w:pPr>
        <w:spacing w:after="60" w:before="160"/>
      </w:pPr>
      <w:r>
        <w:rPr>
          <w:b/>
          <w:bCs/>
          <w:color w:val="3A4356"/>
          <w:sz w:val="21"/>
          <w:szCs w:val="21"/>
        </w:rPr>
        <w:t xml:space="preserve">Credibility pills</w:t>
      </w:r>
    </w:p>
    <w:p>
      <w:pPr>
        <w:spacing w:after="100"/>
      </w:pPr>
      <w:r>
        <w:rPr>
          <w:i w:val="false"/>
          <w:iCs w:val="false"/>
          <w:color w:val="222222"/>
          <w:sz w:val="21"/>
          <w:szCs w:val="21"/>
        </w:rPr>
        <w:t xml:space="preserve">Wall Street Experience  ·  IPO &amp; Capital Markets Expertise  ·  Proprietary IR Platform  ·  Senior-Level Advisory</w:t>
      </w:r>
    </w:p>
    <w:p>
      <w:pPr>
        <w:pStyle w:val="Heading2"/>
        <w:spacing w:after="100" w:before="260"/>
      </w:pPr>
      <w:r>
        <w:rPr>
          <w:b/>
          <w:bCs/>
          <w:color w:val="16223F"/>
          <w:sz w:val="24"/>
          <w:szCs w:val="24"/>
        </w:rPr>
        <w:t xml:space="preserve">Stats Bar</w:t>
      </w:r>
    </w:p>
    <w:p>
      <w:pPr>
        <w:spacing w:after="100"/>
      </w:pPr>
      <w:r>
        <w:rPr>
          <w:i w:val="false"/>
          <w:iCs w:val="false"/>
          <w:color w:val="222222"/>
          <w:sz w:val="21"/>
          <w:szCs w:val="21"/>
        </w:rPr>
        <w:t xml:space="preserve">25+ Years Experience   ·   75+ Technology Companies Covered   ·   20+ IPO &amp; Follow-on Deals   ·   $4T+ Market Cap Experience</w:t>
      </w:r>
    </w:p>
    <w:p>
      <w:pPr>
        <w:pStyle w:val="Heading2"/>
        <w:spacing w:after="100" w:before="260"/>
      </w:pPr>
      <w:r>
        <w:rPr>
          <w:b/>
          <w:bCs/>
          <w:color w:val="16223F"/>
          <w:sz w:val="24"/>
          <w:szCs w:val="24"/>
        </w:rPr>
        <w:t xml:space="preserve">"Two Things" Section</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Two things most IR advisors don't offer together.</w:t>
      </w:r>
    </w:p>
    <w:p>
      <w:pPr>
        <w:spacing w:after="100"/>
      </w:pPr>
      <w:r>
        <w:rPr>
          <w:i w:val="false"/>
          <w:iCs w:val="false"/>
          <w:color w:val="222222"/>
          <w:sz w:val="21"/>
          <w:szCs w:val="21"/>
        </w:rPr>
        <w:t xml:space="preserve">Most advisory firms hand you a framework and a slide deck. Most software vendors hand you a dashboard and no judgment. Praxis Point Advisory built both under one roof: senior capital-markets guidance, delivered through a platform that actually computes the numbers behind it — instead of a spreadsheet that gets rebuilt from scratch every quarter.</w:t>
      </w:r>
    </w:p>
    <w:p>
      <w:pPr>
        <w:pStyle w:val="Heading2"/>
        <w:spacing w:after="100" w:before="260"/>
      </w:pPr>
      <w:r>
        <w:rPr>
          <w:b/>
          <w:bCs/>
          <w:color w:val="16223F"/>
          <w:sz w:val="24"/>
          <w:szCs w:val="24"/>
        </w:rPr>
        <w:t xml:space="preserve">"What The Platform Does" Section</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The system behind the strategy</w:t>
      </w:r>
    </w:p>
    <w:p>
      <w:pPr>
        <w:spacing w:after="100"/>
      </w:pPr>
      <w:r>
        <w:rPr>
          <w:i w:val="false"/>
          <w:iCs w:val="false"/>
          <w:color w:val="222222"/>
          <w:sz w:val="21"/>
          <w:szCs w:val="21"/>
        </w:rPr>
        <w:t xml:space="preserve">A working platform underneath every part of the IR calendar — not a mockup, not slideware.</w:t>
      </w:r>
    </w:p>
    <w:p>
      <w:pPr>
        <w:spacing w:after="60" w:before="160"/>
      </w:pPr>
      <w:r>
        <w:rPr>
          <w:b/>
          <w:bCs/>
          <w:color w:val="3A4356"/>
          <w:sz w:val="21"/>
          <w:szCs w:val="21"/>
        </w:rPr>
        <w:t xml:space="preserve">Card: Institutional Targeting</w:t>
      </w:r>
    </w:p>
    <w:p>
      <w:pPr>
        <w:spacing w:after="100"/>
      </w:pPr>
      <w:r>
        <w:rPr>
          <w:i w:val="false"/>
          <w:iCs w:val="false"/>
          <w:color w:val="222222"/>
          <w:sz w:val="21"/>
          <w:szCs w:val="21"/>
        </w:rPr>
        <w:t xml:space="preserve">A transparent, six-component scoring engine ranks every prospect using real 13F ownership data — not a purchased list.</w:t>
      </w:r>
    </w:p>
    <w:p>
      <w:pPr>
        <w:pStyle w:val="ListParagraph"/>
        <w:numPr>
          <w:ilvl w:val="0"/>
          <w:numId w:val="2"/>
        </w:numPr>
        <w:spacing w:after="50"/>
      </w:pPr>
      <w:r>
        <w:rPr>
          <w:sz w:val="21"/>
          <w:szCs w:val="21"/>
        </w:rPr>
        <w:t xml:space="preserve">Every component score shown, never a black box</w:t>
      </w:r>
    </w:p>
    <w:p>
      <w:pPr>
        <w:pStyle w:val="ListParagraph"/>
        <w:numPr>
          <w:ilvl w:val="0"/>
          <w:numId w:val="2"/>
        </w:numPr>
        <w:spacing w:after="50"/>
      </w:pPr>
      <w:r>
        <w:rPr>
          <w:sz w:val="21"/>
          <w:szCs w:val="21"/>
        </w:rPr>
        <w:t xml:space="preserve">Learns from logged meeting outcomes over time</w:t>
      </w:r>
    </w:p>
    <w:p>
      <w:pPr>
        <w:spacing w:after="60" w:before="160"/>
      </w:pPr>
      <w:r>
        <w:rPr>
          <w:b/>
          <w:bCs/>
          <w:color w:val="3A4356"/>
          <w:sz w:val="21"/>
          <w:szCs w:val="21"/>
        </w:rPr>
        <w:t xml:space="preserve">Card: Guidance &amp; Outlook Engine</w:t>
      </w:r>
    </w:p>
    <w:p>
      <w:pPr>
        <w:spacing w:after="100"/>
      </w:pPr>
      <w:r>
        <w:rPr>
          <w:i w:val="false"/>
          <w:iCs w:val="false"/>
          <w:color w:val="222222"/>
          <w:sz w:val="21"/>
          <w:szCs w:val="21"/>
        </w:rPr>
        <w:t xml:space="preserve">Computes YTD pace against seasonally-weighted targets and recommends a guidance action — raise, reiterate, or narrow — with the reasoning stated in plain English.</w:t>
      </w:r>
    </w:p>
    <w:p>
      <w:pPr>
        <w:pStyle w:val="ListParagraph"/>
        <w:numPr>
          <w:ilvl w:val="0"/>
          <w:numId w:val="2"/>
        </w:numPr>
        <w:spacing w:after="50"/>
      </w:pPr>
      <w:r>
        <w:rPr>
          <w:sz w:val="21"/>
          <w:szCs w:val="21"/>
        </w:rPr>
        <w:t xml:space="preserve">Every forward-looking claim auto-flagged for legal review</w:t>
      </w:r>
    </w:p>
    <w:p>
      <w:pPr>
        <w:pStyle w:val="ListParagraph"/>
        <w:numPr>
          <w:ilvl w:val="0"/>
          <w:numId w:val="2"/>
        </w:numPr>
        <w:spacing w:after="50"/>
      </w:pPr>
      <w:r>
        <w:rPr>
          <w:sz w:val="21"/>
          <w:szCs w:val="21"/>
        </w:rPr>
        <w:t xml:space="preserve">CFO and CEO always make the final call</w:t>
      </w:r>
    </w:p>
    <w:p>
      <w:pPr>
        <w:spacing w:after="60" w:before="160"/>
      </w:pPr>
      <w:r>
        <w:rPr>
          <w:b/>
          <w:bCs/>
          <w:color w:val="3A4356"/>
          <w:sz w:val="21"/>
          <w:szCs w:val="21"/>
        </w:rPr>
        <w:t xml:space="preserve">Card: IR Risk Monitoring</w:t>
      </w:r>
    </w:p>
    <w:p>
      <w:pPr>
        <w:spacing w:after="100"/>
      </w:pPr>
      <w:r>
        <w:rPr>
          <w:i w:val="false"/>
          <w:iCs w:val="false"/>
          <w:color w:val="222222"/>
          <w:sz w:val="21"/>
          <w:szCs w:val="21"/>
        </w:rPr>
        <w:t xml:space="preserve">A 24-indicator scorecard across six risk categories, computed from real data wherever real data exists.</w:t>
      </w:r>
    </w:p>
    <w:p>
      <w:pPr>
        <w:pStyle w:val="ListParagraph"/>
        <w:numPr>
          <w:ilvl w:val="0"/>
          <w:numId w:val="2"/>
        </w:numPr>
        <w:spacing w:after="50"/>
      </w:pPr>
      <w:r>
        <w:rPr>
          <w:sz w:val="21"/>
          <w:szCs w:val="21"/>
        </w:rPr>
        <w:t xml:space="preserve">Marked "not tracked" — not guessed — where it doesn't</w:t>
      </w:r>
    </w:p>
    <w:p>
      <w:pPr>
        <w:pStyle w:val="ListParagraph"/>
        <w:numPr>
          <w:ilvl w:val="0"/>
          <w:numId w:val="2"/>
        </w:numPr>
        <w:spacing w:after="50"/>
      </w:pPr>
      <w:r>
        <w:rPr>
          <w:sz w:val="21"/>
          <w:szCs w:val="21"/>
        </w:rPr>
        <w:t xml:space="preserve">Closes the loop from live investor conversations back to risk</w:t>
      </w:r>
    </w:p>
    <w:p>
      <w:pPr>
        <w:spacing w:after="100"/>
      </w:pPr>
      <w:r>
        <w:rPr>
          <w:i w:val="false"/>
          <w:iCs w:val="false"/>
          <w:color w:val="222222"/>
          <w:sz w:val="21"/>
          <w:szCs w:val="21"/>
        </w:rPr>
        <w:t xml:space="preserve">Link: "Explore the full platform →" (to platform.html)</w:t>
      </w:r>
    </w:p>
    <w:p>
      <w:pPr>
        <w:pStyle w:val="Heading2"/>
        <w:spacing w:after="100" w:before="260"/>
      </w:pPr>
      <w:r>
        <w:rPr>
          <w:b/>
          <w:bCs/>
          <w:color w:val="16223F"/>
          <w:sz w:val="24"/>
          <w:szCs w:val="24"/>
        </w:rPr>
        <w:t xml:space="preserve">Proprietary Frameworks Section</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Methodologies developed over 25 years — now software-backed.</w:t>
      </w:r>
    </w:p>
    <w:p>
      <w:pPr>
        <w:spacing w:after="60" w:before="160"/>
      </w:pPr>
      <w:r>
        <w:rPr>
          <w:b/>
          <w:bCs/>
          <w:color w:val="3A4356"/>
          <w:sz w:val="21"/>
          <w:szCs w:val="21"/>
        </w:rPr>
        <w:t xml:space="preserve">Praxis Ownership Model™</w:t>
      </w:r>
    </w:p>
    <w:p>
      <w:pPr>
        <w:spacing w:after="100"/>
      </w:pPr>
      <w:r>
        <w:rPr>
          <w:i w:val="false"/>
          <w:iCs w:val="false"/>
          <w:color w:val="222222"/>
          <w:sz w:val="21"/>
          <w:szCs w:val="21"/>
        </w:rPr>
        <w:t xml:space="preserve">Identify, target, and cultivate long-term institutional investors aligned with growth profile and valuation objectives — powered by the platform's live 13F scoring engine.</w:t>
      </w:r>
    </w:p>
    <w:p>
      <w:pPr>
        <w:spacing w:after="60" w:before="160"/>
      </w:pPr>
      <w:r>
        <w:rPr>
          <w:b/>
          <w:bCs/>
          <w:color w:val="3A4356"/>
          <w:sz w:val="21"/>
          <w:szCs w:val="21"/>
        </w:rPr>
        <w:t xml:space="preserve">Guidance Analytics Framework™</w:t>
      </w:r>
    </w:p>
    <w:p>
      <w:pPr>
        <w:spacing w:after="100"/>
      </w:pPr>
      <w:r>
        <w:rPr>
          <w:i w:val="false"/>
          <w:iCs w:val="false"/>
          <w:color w:val="222222"/>
          <w:sz w:val="21"/>
          <w:szCs w:val="21"/>
        </w:rPr>
        <w:t xml:space="preserve">Forecasting frameworks and scenario models that improve guidance accuracy and investor confidence — this is the platform's Guidance &amp; Outlook Decision Engine.</w:t>
      </w:r>
    </w:p>
    <w:p>
      <w:pPr>
        <w:spacing w:after="60" w:before="160"/>
      </w:pPr>
      <w:r>
        <w:rPr>
          <w:b/>
          <w:bCs/>
          <w:color w:val="3A4356"/>
          <w:sz w:val="21"/>
          <w:szCs w:val="21"/>
        </w:rPr>
        <w:t xml:space="preserve">Consensus Expectations Model™</w:t>
      </w:r>
    </w:p>
    <w:p>
      <w:pPr>
        <w:spacing w:after="100"/>
      </w:pPr>
      <w:r>
        <w:rPr>
          <w:i w:val="false"/>
          <w:iCs w:val="false"/>
          <w:color w:val="222222"/>
          <w:sz w:val="21"/>
          <w:szCs w:val="21"/>
        </w:rPr>
        <w:t xml:space="preserve">Track analyst estimates, model earnings scenarios, and manage the Street's expectations before results — run through the platform's durable Consensus Tracker.</w:t>
      </w:r>
    </w:p>
    <w:p>
      <w:pPr>
        <w:spacing w:after="60" w:before="160"/>
      </w:pPr>
      <w:r>
        <w:rPr>
          <w:b/>
          <w:bCs/>
          <w:color w:val="3A4356"/>
          <w:sz w:val="21"/>
          <w:szCs w:val="21"/>
        </w:rPr>
        <w:t xml:space="preserve">Praxis Readiness Scorecard™</w:t>
      </w:r>
    </w:p>
    <w:p>
      <w:pPr>
        <w:spacing w:after="100"/>
      </w:pPr>
      <w:r>
        <w:rPr>
          <w:i w:val="false"/>
          <w:iCs w:val="false"/>
          <w:color w:val="222222"/>
          <w:sz w:val="21"/>
          <w:szCs w:val="21"/>
        </w:rPr>
        <w:t xml:space="preserve">Evaluate readiness across governance, reporting, and investor communications, using the same computed, evidence-based scoring behind the IR Risk Dashboard.</w:t>
      </w:r>
    </w:p>
    <w:p>
      <w:pPr>
        <w:pStyle w:val="Heading2"/>
        <w:spacing w:after="100" w:before="260"/>
      </w:pPr>
      <w:r>
        <w:rPr>
          <w:b/>
          <w:bCs/>
          <w:color w:val="16223F"/>
          <w:sz w:val="24"/>
          <w:szCs w:val="24"/>
        </w:rPr>
        <w:t xml:space="preserve">Methodology Section</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A structured approach to capital markets success</w:t>
      </w:r>
    </w:p>
    <w:p>
      <w:pPr>
        <w:spacing w:after="60" w:before="160"/>
      </w:pPr>
      <w:r>
        <w:rPr>
          <w:b/>
          <w:bCs/>
          <w:color w:val="3A4356"/>
          <w:sz w:val="21"/>
          <w:szCs w:val="21"/>
        </w:rPr>
        <w:t xml:space="preserve">01 Assess</w:t>
      </w:r>
    </w:p>
    <w:p>
      <w:pPr>
        <w:spacing w:after="100"/>
      </w:pPr>
      <w:r>
        <w:rPr>
          <w:i w:val="false"/>
          <w:iCs w:val="false"/>
          <w:color w:val="222222"/>
          <w:sz w:val="21"/>
          <w:szCs w:val="21"/>
        </w:rPr>
        <w:t xml:space="preserve">Evaluate current investor positioning, communications infrastructure, and institutional perception gaps.</w:t>
      </w:r>
    </w:p>
    <w:p>
      <w:pPr>
        <w:spacing w:after="60" w:before="160"/>
      </w:pPr>
      <w:r>
        <w:rPr>
          <w:b/>
          <w:bCs/>
          <w:color w:val="3A4356"/>
          <w:sz w:val="21"/>
          <w:szCs w:val="21"/>
        </w:rPr>
        <w:t xml:space="preserve">02 Measure</w:t>
      </w:r>
    </w:p>
    <w:p>
      <w:pPr>
        <w:spacing w:after="100"/>
      </w:pPr>
      <w:r>
        <w:rPr>
          <w:i w:val="false"/>
          <w:iCs w:val="false"/>
          <w:color w:val="222222"/>
          <w:sz w:val="21"/>
          <w:szCs w:val="21"/>
        </w:rPr>
        <w:t xml:space="preserve">Benchmark against peer companies, analyst coverage quality, and capital markets performance.</w:t>
      </w:r>
    </w:p>
    <w:p>
      <w:pPr>
        <w:spacing w:after="60" w:before="160"/>
      </w:pPr>
      <w:r>
        <w:rPr>
          <w:b/>
          <w:bCs/>
          <w:color w:val="3A4356"/>
          <w:sz w:val="21"/>
          <w:szCs w:val="21"/>
        </w:rPr>
        <w:t xml:space="preserve">03 Position</w:t>
      </w:r>
    </w:p>
    <w:p>
      <w:pPr>
        <w:spacing w:after="100"/>
      </w:pPr>
      <w:r>
        <w:rPr>
          <w:i w:val="false"/>
          <w:iCs w:val="false"/>
          <w:color w:val="222222"/>
          <w:sz w:val="21"/>
          <w:szCs w:val="21"/>
        </w:rPr>
        <w:t xml:space="preserve">Develop a differentiated equity narrative and institutional messaging that drives investor conviction.</w:t>
      </w:r>
    </w:p>
    <w:p>
      <w:pPr>
        <w:spacing w:after="60" w:before="160"/>
      </w:pPr>
      <w:r>
        <w:rPr>
          <w:b/>
          <w:bCs/>
          <w:color w:val="3A4356"/>
          <w:sz w:val="21"/>
          <w:szCs w:val="21"/>
        </w:rPr>
        <w:t xml:space="preserve">04 Engage</w:t>
      </w:r>
    </w:p>
    <w:p>
      <w:pPr>
        <w:spacing w:after="100"/>
      </w:pPr>
      <w:r>
        <w:rPr>
          <w:i w:val="false"/>
          <w:iCs w:val="false"/>
          <w:color w:val="222222"/>
          <w:sz w:val="21"/>
          <w:szCs w:val="21"/>
        </w:rPr>
        <w:t xml:space="preserve">Execute targeted institutional outreach and build durable capital markets relationships — with the platform tracking every step.</w:t>
      </w:r>
    </w:p>
    <w:p>
      <w:pPr>
        <w:pStyle w:val="Heading2"/>
        <w:spacing w:after="100" w:before="260"/>
      </w:pPr>
      <w:r>
        <w:rPr>
          <w:b/>
          <w:bCs/>
          <w:color w:val="16223F"/>
          <w:sz w:val="24"/>
          <w:szCs w:val="24"/>
        </w:rPr>
        <w:t xml:space="preserve">"Why It's Different" Callout</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No black boxes. No fabricated benchmarks.</w:t>
      </w:r>
    </w:p>
    <w:p>
      <w:pPr>
        <w:spacing w:after="100"/>
      </w:pPr>
      <w:r>
        <w:rPr>
          <w:i w:val="false"/>
          <w:iCs w:val="false"/>
          <w:color w:val="222222"/>
          <w:sz w:val="21"/>
          <w:szCs w:val="21"/>
        </w:rPr>
        <w:t xml:space="preserve">Every number the platform shows is computed from a real, disclosed source — market data, SEC filings, logged investor conversations. Where no real data exists yet for an indicator, it's marked "not tracked," not filled in with a guess dressed up as a metric. That's the standard the rest of the industry should be held to.</w:t>
      </w:r>
    </w:p>
    <w:p>
      <w:pPr>
        <w:pStyle w:val="Heading2"/>
        <w:spacing w:after="100" w:before="260"/>
      </w:pPr>
      <w:r>
        <w:rPr>
          <w:b/>
          <w:bCs/>
          <w:color w:val="16223F"/>
          <w:sz w:val="24"/>
          <w:szCs w:val="24"/>
        </w:rPr>
        <w:t xml:space="preserve">Closing CTA</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Ready to strengthen your investor story?</w:t>
      </w:r>
    </w:p>
    <w:p>
      <w:pPr>
        <w:spacing w:after="100"/>
      </w:pPr>
      <w:r>
        <w:rPr>
          <w:i w:val="false"/>
          <w:iCs w:val="false"/>
          <w:color w:val="222222"/>
          <w:sz w:val="21"/>
          <w:szCs w:val="21"/>
        </w:rPr>
        <w:t xml:space="preserve">Whether preparing for an IPO, refining investor messaging, or engaging institutional investors, Praxis Point Advisory can help — with the rigor of Wall Street and a platform to back it up.</w:t>
      </w:r>
    </w:p>
    <w:p>
      <w:pPr>
        <w:spacing w:after="100"/>
      </w:pPr>
      <w:r>
        <w:rPr>
          <w:i w:val="false"/>
          <w:iCs w:val="false"/>
          <w:color w:val="222222"/>
          <w:sz w:val="21"/>
          <w:szCs w:val="21"/>
        </w:rPr>
        <w:t xml:space="preserve">Button: "Schedule a Strategy Call"</w:t>
      </w:r>
    </w:p>
    <w:p>
      <w:pPr>
        <w:pBdr>
          <w:bottom w:val="single" w:color="D8D2C4" w:sz="6"/>
        </w:pBdr>
        <w:spacing w:after="200" w:before="100"/>
      </w:pPr>
    </w:p>
    <w:p>
      <w:pPr>
        <w:pStyle w:val="Heading1"/>
        <w:spacing w:after="160" w:before="200"/>
      </w:pPr>
      <w:r>
        <w:rPr>
          <w:b/>
          <w:bCs/>
          <w:color w:val="16223F"/>
          <w:sz w:val="32"/>
          <w:szCs w:val="32"/>
        </w:rPr>
        <w:t xml:space="preserve">Page 2 — Platform (platform.html) — NEW PAGE</w:t>
      </w:r>
    </w:p>
    <w:tbl>
      <w:tblPr>
        <w:tblW w:type="pct" w:w="100%"/>
        <w:tblBorders>
          <w:top w:val="single" w:color="C9BFA5" w:sz="4"/>
          <w:left w:val="single" w:color="C9BFA5" w:sz="4"/>
          <w:bottom w:val="single" w:color="C9BFA5" w:sz="4"/>
          <w:right w:val="single" w:color="C9BFA5" w:sz="4"/>
          <w:insideH w:val="none" w:color="FFFFFF" w:sz="0"/>
          <w:insideV w:val="none" w:color="FFFFFF" w:sz="0"/>
        </w:tblBorders>
      </w:tblPr>
      <w:tblGrid>
        <w:gridCol w:w="100"/>
      </w:tblGrid>
      <w:tr>
        <w:tc>
          <w:tcPr>
            <w:tcW w:type="pct" w:w="100%"/>
            <w:shd w:fill="F3EFE6" w:val="clear"/>
            <w:tcMar>
              <w:top w:type="dxa" w:w="120"/>
              <w:left w:type="dxa" w:w="160"/>
              <w:bottom w:type="dxa" w:w="120"/>
              <w:right w:type="dxa" w:w="160"/>
            </w:tcMar>
          </w:tcPr>
          <w:p>
            <w:pPr>
              <w:spacing w:after="40"/>
            </w:pPr>
            <w:r>
              <w:rPr>
                <w:b/>
                <w:bCs/>
                <w:color w:val="9C7A34"/>
                <w:sz w:val="17"/>
                <w:szCs w:val="17"/>
              </w:rPr>
              <w:t xml:space="preserve">PAGE TITLE (browser tab)</w:t>
            </w:r>
          </w:p>
          <w:p>
            <w:pPr>
              <w:spacing w:after="100"/>
            </w:pPr>
            <w:r>
              <w:rPr>
                <w:color w:val="222222"/>
                <w:sz w:val="19"/>
                <w:szCs w:val="19"/>
              </w:rPr>
              <w:t xml:space="preserve">The Platform | Praxis Point Advisory</w:t>
            </w:r>
          </w:p>
          <w:p>
            <w:pPr>
              <w:spacing w:after="40"/>
            </w:pPr>
            <w:r>
              <w:rPr>
                <w:b/>
                <w:bCs/>
                <w:color w:val="9C7A34"/>
                <w:sz w:val="17"/>
                <w:szCs w:val="17"/>
              </w:rPr>
              <w:t xml:space="preserve">META DESCRIPTION</w:t>
            </w:r>
          </w:p>
          <w:p>
            <w:r>
              <w:rPr>
                <w:color w:val="222222"/>
                <w:sz w:val="19"/>
                <w:szCs w:val="19"/>
              </w:rPr>
              <w:t xml:space="preserve">Inside the Praxis Point IR platform — institutional investor scoring, a guidance decision engine, a 24-indicator risk dashboard, and AI-classified analyst mail, all computed from real data.</w:t>
            </w:r>
          </w:p>
        </w:tc>
      </w:tr>
    </w:tbl>
    <w:p>
      <w:pPr>
        <w:spacing w:after="80"/>
      </w:pPr>
    </w:p>
    <w:p>
      <w:pPr>
        <w:pStyle w:val="Heading2"/>
        <w:spacing w:after="100" w:before="260"/>
      </w:pPr>
      <w:r>
        <w:rPr>
          <w:b/>
          <w:bCs/>
          <w:color w:val="16223F"/>
          <w:sz w:val="24"/>
          <w:szCs w:val="24"/>
        </w:rPr>
        <w:t xml:space="preserve">Hero</w:t>
      </w:r>
    </w:p>
    <w:p>
      <w:pPr>
        <w:spacing w:after="60" w:before="160"/>
      </w:pPr>
      <w:r>
        <w:rPr>
          <w:b/>
          <w:bCs/>
          <w:color w:val="3A4356"/>
          <w:sz w:val="21"/>
          <w:szCs w:val="21"/>
        </w:rPr>
        <w:t xml:space="preserve">Eyebrow</w:t>
      </w:r>
    </w:p>
    <w:p>
      <w:pPr>
        <w:spacing w:after="100"/>
      </w:pPr>
      <w:r>
        <w:rPr>
          <w:i w:val="false"/>
          <w:iCs w:val="false"/>
          <w:color w:val="222222"/>
          <w:sz w:val="21"/>
          <w:szCs w:val="21"/>
        </w:rPr>
        <w:t xml:space="preserve">The Platform</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The system behind the strategy.</w:t>
      </w:r>
    </w:p>
    <w:p>
      <w:pPr>
        <w:spacing w:after="60" w:before="160"/>
      </w:pPr>
      <w:r>
        <w:rPr>
          <w:b/>
          <w:bCs/>
          <w:color w:val="3A4356"/>
          <w:sz w:val="21"/>
          <w:szCs w:val="21"/>
        </w:rPr>
        <w:t xml:space="preserve">Subhead</w:t>
      </w:r>
    </w:p>
    <w:p>
      <w:pPr>
        <w:spacing w:after="100"/>
      </w:pPr>
      <w:r>
        <w:rPr>
          <w:i w:val="false"/>
          <w:iCs w:val="false"/>
          <w:color w:val="222222"/>
          <w:sz w:val="21"/>
          <w:szCs w:val="21"/>
        </w:rPr>
        <w:t xml:space="preserve">Every module below runs on real, computed data — live market feeds, SEC filings, and your own logged investor activity. Illustrative figures shown; your platform runs on your numbers.</w:t>
      </w:r>
    </w:p>
    <w:p>
      <w:pPr>
        <w:spacing w:after="60" w:before="160"/>
      </w:pPr>
      <w:r>
        <w:rPr>
          <w:b/>
          <w:bCs/>
          <w:color w:val="3A4356"/>
          <w:sz w:val="21"/>
          <w:szCs w:val="21"/>
        </w:rPr>
        <w:t xml:space="preserve">CTA</w:t>
      </w:r>
    </w:p>
    <w:p>
      <w:pPr>
        <w:spacing w:after="100"/>
      </w:pPr>
      <w:r>
        <w:rPr>
          <w:i w:val="false"/>
          <w:iCs w:val="false"/>
          <w:color w:val="222222"/>
          <w:sz w:val="21"/>
          <w:szCs w:val="21"/>
        </w:rPr>
        <w:t xml:space="preserve">"See It On Your Data"</w:t>
      </w:r>
    </w:p>
    <w:p>
      <w:pPr>
        <w:pStyle w:val="Heading2"/>
        <w:spacing w:after="100" w:before="260"/>
      </w:pPr>
      <w:r>
        <w:rPr>
          <w:b/>
          <w:bCs/>
          <w:color w:val="16223F"/>
          <w:sz w:val="24"/>
          <w:szCs w:val="24"/>
        </w:rPr>
        <w:t xml:space="preserve">Module 1 — Investor Targeting &amp; Fit Score</w:t>
      </w:r>
    </w:p>
    <w:p>
      <w:pPr>
        <w:spacing w:after="100"/>
      </w:pPr>
      <w:r>
        <w:rPr>
          <w:i w:val="false"/>
          <w:iCs w:val="false"/>
          <w:color w:val="222222"/>
          <w:sz w:val="21"/>
          <w:szCs w:val="21"/>
        </w:rPr>
        <w:t xml:space="preserve">A transparent, six-component score ranks every prospective institution out of 100 — Peer Conviction, New-Buyer Signal, Comparability Fit, Turnover Style, Purchasing Power, and Contactability — rolling up to a priority tier.</w:t>
      </w:r>
    </w:p>
    <w:p>
      <w:pPr>
        <w:pStyle w:val="ListParagraph"/>
        <w:numPr>
          <w:ilvl w:val="0"/>
          <w:numId w:val="2"/>
        </w:numPr>
        <w:spacing w:after="50"/>
      </w:pPr>
      <w:r>
        <w:rPr>
          <w:sz w:val="21"/>
          <w:szCs w:val="21"/>
        </w:rPr>
        <w:t xml:space="preserve">Purchasing Power is a real number, computed from actual 13F ownership filings — not a guess</w:t>
      </w:r>
    </w:p>
    <w:p>
      <w:pPr>
        <w:pStyle w:val="ListParagraph"/>
        <w:numPr>
          <w:ilvl w:val="0"/>
          <w:numId w:val="2"/>
        </w:numPr>
        <w:spacing w:after="50"/>
      </w:pPr>
      <w:r>
        <w:rPr>
          <w:sz w:val="21"/>
          <w:szCs w:val="21"/>
        </w:rPr>
        <w:t xml:space="preserve">Every component score is visible; the ranking is never a black box</w:t>
      </w:r>
    </w:p>
    <w:p>
      <w:pPr>
        <w:pStyle w:val="ListParagraph"/>
        <w:numPr>
          <w:ilvl w:val="0"/>
          <w:numId w:val="2"/>
        </w:numPr>
        <w:spacing w:after="50"/>
      </w:pPr>
      <w:r>
        <w:rPr>
          <w:sz w:val="21"/>
          <w:szCs w:val="21"/>
        </w:rPr>
        <w:t xml:space="preserve">The model can be re-weighted from your own logged meeting outcomes over time</w:t>
      </w:r>
    </w:p>
    <w:p>
      <w:pPr>
        <w:pStyle w:val="Heading2"/>
        <w:spacing w:after="100" w:before="260"/>
      </w:pPr>
      <w:r>
        <w:rPr>
          <w:b/>
          <w:bCs/>
          <w:color w:val="16223F"/>
          <w:sz w:val="24"/>
          <w:szCs w:val="24"/>
        </w:rPr>
        <w:t xml:space="preserve">Module 2 — Guidance &amp; Outlook Decision Engine</w:t>
      </w:r>
    </w:p>
    <w:p>
      <w:pPr>
        <w:spacing w:after="100"/>
      </w:pPr>
      <w:r>
        <w:rPr>
          <w:i w:val="false"/>
          <w:iCs w:val="false"/>
          <w:color w:val="222222"/>
          <w:sz w:val="21"/>
          <w:szCs w:val="21"/>
        </w:rPr>
        <w:t xml:space="preserve">The highest-stakes paragraph on any earnings call, drafted from real math instead of gut feel. The engine reads YTD revenue against a seasonally-weighted pace, computes what H2 needs to hit guidance, and recommends an action.</w:t>
      </w:r>
    </w:p>
    <w:p>
      <w:pPr>
        <w:pStyle w:val="ListParagraph"/>
        <w:numPr>
          <w:ilvl w:val="0"/>
          <w:numId w:val="2"/>
        </w:numPr>
        <w:spacing w:after="50"/>
      </w:pPr>
      <w:r>
        <w:rPr>
          <w:sz w:val="21"/>
          <w:szCs w:val="21"/>
        </w:rPr>
        <w:t xml:space="preserve">Recommends raise, reiterate, or narrow — with plain-English reasoning, not just a badge</w:t>
      </w:r>
    </w:p>
    <w:p>
      <w:pPr>
        <w:pStyle w:val="ListParagraph"/>
        <w:numPr>
          <w:ilvl w:val="0"/>
          <w:numId w:val="2"/>
        </w:numPr>
        <w:spacing w:after="50"/>
      </w:pPr>
      <w:r>
        <w:rPr>
          <w:sz w:val="21"/>
          <w:szCs w:val="21"/>
        </w:rPr>
        <w:t xml:space="preserve">Every forward-looking claim auto-tagged for legal review before it reaches the script</w:t>
      </w:r>
    </w:p>
    <w:p>
      <w:pPr>
        <w:pStyle w:val="ListParagraph"/>
        <w:numPr>
          <w:ilvl w:val="0"/>
          <w:numId w:val="2"/>
        </w:numPr>
        <w:spacing w:after="50"/>
      </w:pPr>
      <w:r>
        <w:rPr>
          <w:sz w:val="21"/>
          <w:szCs w:val="21"/>
        </w:rPr>
        <w:t xml:space="preserve">Management always makes the final call — the engine recommends, it doesn't decide</w:t>
      </w:r>
    </w:p>
    <w:p>
      <w:pPr>
        <w:pStyle w:val="Heading2"/>
        <w:spacing w:after="100" w:before="260"/>
      </w:pPr>
      <w:r>
        <w:rPr>
          <w:b/>
          <w:bCs/>
          <w:color w:val="16223F"/>
          <w:sz w:val="24"/>
          <w:szCs w:val="24"/>
        </w:rPr>
        <w:t xml:space="preserve">Module 3 — IR Risk Dashboard</w:t>
      </w:r>
    </w:p>
    <w:p>
      <w:pPr>
        <w:spacing w:after="100"/>
      </w:pPr>
      <w:r>
        <w:rPr>
          <w:i w:val="false"/>
          <w:iCs w:val="false"/>
          <w:color w:val="222222"/>
          <w:sz w:val="21"/>
          <w:szCs w:val="21"/>
        </w:rPr>
        <w:t xml:space="preserve">A 24-indicator scorecard across six risk categories — consensus dispersion, narrative risk, ownership shifts, disclosure compliance, and more — computed from real data wherever a real source exists.</w:t>
      </w:r>
    </w:p>
    <w:p>
      <w:pPr>
        <w:pStyle w:val="ListParagraph"/>
        <w:numPr>
          <w:ilvl w:val="0"/>
          <w:numId w:val="2"/>
        </w:numPr>
        <w:spacing w:after="50"/>
      </w:pPr>
      <w:r>
        <w:rPr>
          <w:sz w:val="21"/>
          <w:szCs w:val="21"/>
        </w:rPr>
        <w:t xml:space="preserve">No fabricated benchmarks: where no real source exists yet, the indicator says "not tracked" — not a guess dressed up as a metric</w:t>
      </w:r>
    </w:p>
    <w:p>
      <w:pPr>
        <w:pStyle w:val="ListParagraph"/>
        <w:numPr>
          <w:ilvl w:val="0"/>
          <w:numId w:val="2"/>
        </w:numPr>
        <w:spacing w:after="50"/>
      </w:pPr>
      <w:r>
        <w:rPr>
          <w:sz w:val="21"/>
          <w:szCs w:val="21"/>
        </w:rPr>
        <w:t xml:space="preserve">A real logged investor objection or narrative gap moves the dashboard automatically</w:t>
      </w:r>
    </w:p>
    <w:p>
      <w:pPr>
        <w:pStyle w:val="ListParagraph"/>
        <w:numPr>
          <w:ilvl w:val="0"/>
          <w:numId w:val="2"/>
        </w:numPr>
        <w:spacing w:after="50"/>
      </w:pPr>
      <w:r>
        <w:rPr>
          <w:sz w:val="21"/>
          <w:szCs w:val="21"/>
        </w:rPr>
        <w:t xml:space="preserve">Every colored indicator is trustworthy precisely because the gray ones are honest</w:t>
      </w:r>
    </w:p>
    <w:p>
      <w:pPr>
        <w:pStyle w:val="Heading2"/>
        <w:spacing w:after="100" w:before="260"/>
      </w:pPr>
      <w:r>
        <w:rPr>
          <w:b/>
          <w:bCs/>
          <w:color w:val="16223F"/>
          <w:sz w:val="24"/>
          <w:szCs w:val="24"/>
        </w:rPr>
        <w:t xml:space="preserve">Module 4 — AI-Classified Inbox</w:t>
      </w:r>
    </w:p>
    <w:p>
      <w:pPr>
        <w:spacing w:after="100"/>
      </w:pPr>
      <w:r>
        <w:rPr>
          <w:i w:val="false"/>
          <w:iCs w:val="false"/>
          <w:color w:val="222222"/>
          <w:sz w:val="21"/>
          <w:szCs w:val="21"/>
        </w:rPr>
        <w:t xml:space="preserve">Every inbound analyst or investor email is automatically read and classified — an updated model, a research note, a meeting request, a conference invite — and routed to the right person, pre-filled with the fields that matter.</w:t>
      </w:r>
    </w:p>
    <w:p>
      <w:pPr>
        <w:pStyle w:val="ListParagraph"/>
        <w:numPr>
          <w:ilvl w:val="0"/>
          <w:numId w:val="2"/>
        </w:numPr>
        <w:spacing w:after="50"/>
      </w:pPr>
      <w:r>
        <w:rPr>
          <w:sz w:val="21"/>
          <w:szCs w:val="21"/>
        </w:rPr>
        <w:t xml:space="preserve">Research notes get a CFA-lens extraction: rating/PT change, valuation method, thesis vs. consensus, catalysts and risks</w:t>
      </w:r>
    </w:p>
    <w:p>
      <w:pPr>
        <w:pStyle w:val="ListParagraph"/>
        <w:numPr>
          <w:ilvl w:val="0"/>
          <w:numId w:val="2"/>
        </w:numPr>
        <w:spacing w:after="50"/>
      </w:pPr>
      <w:r>
        <w:rPr>
          <w:sz w:val="21"/>
          <w:szCs w:val="21"/>
        </w:rPr>
        <w:t xml:space="preserve">Marked Internal Use Only — built around internal circulation, never external redistribution of licensed research</w:t>
      </w:r>
    </w:p>
    <w:p>
      <w:pPr>
        <w:pStyle w:val="ListParagraph"/>
        <w:numPr>
          <w:ilvl w:val="0"/>
          <w:numId w:val="2"/>
        </w:numPr>
        <w:spacing w:after="50"/>
      </w:pPr>
      <w:r>
        <w:rPr>
          <w:sz w:val="21"/>
          <w:szCs w:val="21"/>
        </w:rPr>
        <w:t xml:space="preserve">Turns "reviewed / not reviewed" into a decision the Head of IR can make in seconds</w:t>
      </w:r>
    </w:p>
    <w:p>
      <w:pPr>
        <w:pStyle w:val="Heading2"/>
        <w:spacing w:after="100" w:before="260"/>
      </w:pPr>
      <w:r>
        <w:rPr>
          <w:b/>
          <w:bCs/>
          <w:color w:val="16223F"/>
          <w:sz w:val="24"/>
          <w:szCs w:val="24"/>
        </w:rPr>
        <w:t xml:space="preserve">"Built to Prove Out ROI" Callout</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Every automated action, logged and queryable.</w:t>
      </w:r>
    </w:p>
    <w:p>
      <w:pPr>
        <w:spacing w:after="100"/>
      </w:pPr>
      <w:r>
        <w:rPr>
          <w:i w:val="false"/>
          <w:iCs w:val="false"/>
          <w:color w:val="222222"/>
          <w:sz w:val="21"/>
          <w:szCs w:val="21"/>
        </w:rPr>
        <w:t xml:space="preserve">The platform tracks what it actually did — every resolved signal, every routed email, every classified model — tagged by page and section. When leadership asks "what did we get for this," there's a real answer, not an estimate.</w:t>
      </w:r>
    </w:p>
    <w:p>
      <w:pPr>
        <w:pStyle w:val="Heading2"/>
        <w:spacing w:after="100" w:before="260"/>
      </w:pPr>
      <w:r>
        <w:rPr>
          <w:b/>
          <w:bCs/>
          <w:color w:val="16223F"/>
          <w:sz w:val="24"/>
          <w:szCs w:val="24"/>
        </w:rPr>
        <w:t xml:space="preserve">Closing CTA</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See it running on your numbers.</w:t>
      </w:r>
    </w:p>
    <w:p>
      <w:pPr>
        <w:spacing w:after="100"/>
      </w:pPr>
      <w:r>
        <w:rPr>
          <w:i w:val="false"/>
          <w:iCs w:val="false"/>
          <w:color w:val="222222"/>
          <w:sz w:val="21"/>
          <w:szCs w:val="21"/>
        </w:rPr>
        <w:t xml:space="preserve">Every module above is built to run on your company's real market data, filings, and investor activity from day one.</w:t>
      </w:r>
    </w:p>
    <w:p>
      <w:pPr>
        <w:spacing w:after="100"/>
      </w:pPr>
      <w:r>
        <w:rPr>
          <w:i w:val="false"/>
          <w:iCs w:val="false"/>
          <w:color w:val="222222"/>
          <w:sz w:val="21"/>
          <w:szCs w:val="21"/>
        </w:rPr>
        <w:t xml:space="preserve">Button: "Schedule a Strategy Call"</w:t>
      </w:r>
    </w:p>
    <w:p>
      <w:pPr>
        <w:pBdr>
          <w:bottom w:val="single" w:color="D8D2C4" w:sz="6"/>
        </w:pBdr>
        <w:spacing w:after="200" w:before="100"/>
      </w:pPr>
    </w:p>
    <w:p>
      <w:pPr>
        <w:pStyle w:val="Heading1"/>
        <w:spacing w:after="160" w:before="200"/>
      </w:pPr>
      <w:r>
        <w:rPr>
          <w:b/>
          <w:bCs/>
          <w:color w:val="16223F"/>
          <w:sz w:val="32"/>
          <w:szCs w:val="32"/>
        </w:rPr>
        <w:t xml:space="preserve">Page 3 — Services (services.html)</w:t>
      </w:r>
    </w:p>
    <w:tbl>
      <w:tblPr>
        <w:tblW w:type="pct" w:w="100%"/>
        <w:tblBorders>
          <w:top w:val="single" w:color="C9BFA5" w:sz="4"/>
          <w:left w:val="single" w:color="C9BFA5" w:sz="4"/>
          <w:bottom w:val="single" w:color="C9BFA5" w:sz="4"/>
          <w:right w:val="single" w:color="C9BFA5" w:sz="4"/>
          <w:insideH w:val="none" w:color="FFFFFF" w:sz="0"/>
          <w:insideV w:val="none" w:color="FFFFFF" w:sz="0"/>
        </w:tblBorders>
      </w:tblPr>
      <w:tblGrid>
        <w:gridCol w:w="100"/>
      </w:tblGrid>
      <w:tr>
        <w:tc>
          <w:tcPr>
            <w:tcW w:type="pct" w:w="100%"/>
            <w:shd w:fill="F3EFE6" w:val="clear"/>
            <w:tcMar>
              <w:top w:type="dxa" w:w="120"/>
              <w:left w:type="dxa" w:w="160"/>
              <w:bottom w:type="dxa" w:w="120"/>
              <w:right w:type="dxa" w:w="160"/>
            </w:tcMar>
          </w:tcPr>
          <w:p>
            <w:pPr>
              <w:spacing w:after="40"/>
            </w:pPr>
            <w:r>
              <w:rPr>
                <w:b/>
                <w:bCs/>
                <w:color w:val="9C7A34"/>
                <w:sz w:val="17"/>
                <w:szCs w:val="17"/>
              </w:rPr>
              <w:t xml:space="preserve">PAGE TITLE (browser tab)</w:t>
            </w:r>
          </w:p>
          <w:p>
            <w:pPr>
              <w:spacing w:after="100"/>
            </w:pPr>
            <w:r>
              <w:rPr>
                <w:color w:val="222222"/>
                <w:sz w:val="19"/>
                <w:szCs w:val="19"/>
              </w:rPr>
              <w:t xml:space="preserve">Services | Praxis Point Advisory</w:t>
            </w:r>
          </w:p>
          <w:p>
            <w:pPr>
              <w:spacing w:after="40"/>
            </w:pPr>
            <w:r>
              <w:rPr>
                <w:b/>
                <w:bCs/>
                <w:color w:val="9C7A34"/>
                <w:sz w:val="17"/>
                <w:szCs w:val="17"/>
              </w:rPr>
              <w:t xml:space="preserve">META DESCRIPTION</w:t>
            </w:r>
          </w:p>
          <w:p>
            <w:r>
              <w:rPr>
                <w:color w:val="222222"/>
                <w:sz w:val="19"/>
                <w:szCs w:val="19"/>
              </w:rPr>
              <w:t xml:space="preserve">Investor relations strategy, IPO advisory and readiness, and capital markets communications for growth-stage technology companies — each backed by a proprietary, software-driven framework.</w:t>
            </w:r>
          </w:p>
        </w:tc>
      </w:tr>
    </w:tbl>
    <w:p>
      <w:pPr>
        <w:spacing w:after="80"/>
      </w:pPr>
    </w:p>
    <w:p>
      <w:pPr>
        <w:pStyle w:val="Heading2"/>
        <w:spacing w:after="100" w:before="260"/>
      </w:pPr>
      <w:r>
        <w:rPr>
          <w:b/>
          <w:bCs/>
          <w:color w:val="16223F"/>
          <w:sz w:val="24"/>
          <w:szCs w:val="24"/>
        </w:rPr>
        <w:t xml:space="preserve">Hero</w:t>
      </w:r>
    </w:p>
    <w:p>
      <w:pPr>
        <w:spacing w:after="60" w:before="160"/>
      </w:pPr>
      <w:r>
        <w:rPr>
          <w:b/>
          <w:bCs/>
          <w:color w:val="3A4356"/>
          <w:sz w:val="21"/>
          <w:szCs w:val="21"/>
        </w:rPr>
        <w:t xml:space="preserve">Eyebrow</w:t>
      </w:r>
    </w:p>
    <w:p>
      <w:pPr>
        <w:spacing w:after="100"/>
      </w:pPr>
      <w:r>
        <w:rPr>
          <w:i w:val="false"/>
          <w:iCs w:val="false"/>
          <w:color w:val="222222"/>
          <w:sz w:val="21"/>
          <w:szCs w:val="21"/>
        </w:rPr>
        <w:t xml:space="preserve">Advisory Services</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Navigate public markets with confidence.</w:t>
      </w:r>
    </w:p>
    <w:p>
      <w:pPr>
        <w:spacing w:after="60" w:before="160"/>
      </w:pPr>
      <w:r>
        <w:rPr>
          <w:b/>
          <w:bCs/>
          <w:color w:val="3A4356"/>
          <w:sz w:val="21"/>
          <w:szCs w:val="21"/>
        </w:rPr>
        <w:t xml:space="preserve">Subhead</w:t>
      </w:r>
    </w:p>
    <w:p>
      <w:pPr>
        <w:spacing w:after="100"/>
      </w:pPr>
      <w:r>
        <w:rPr>
          <w:i w:val="false"/>
          <w:iCs w:val="false"/>
          <w:color w:val="222222"/>
          <w:sz w:val="21"/>
          <w:szCs w:val="21"/>
        </w:rPr>
        <w:t xml:space="preserve">Investor relations, IPO readiness, and capital markets advisory for growth-stage technology companies — delivered by a senior advisor and run through a platform that computes the work, not just describes it.</w:t>
      </w:r>
    </w:p>
    <w:p>
      <w:pPr>
        <w:pStyle w:val="Heading2"/>
        <w:spacing w:after="100" w:before="260"/>
      </w:pPr>
      <w:r>
        <w:rPr>
          <w:b/>
          <w:bCs/>
          <w:color w:val="16223F"/>
          <w:sz w:val="24"/>
          <w:szCs w:val="24"/>
        </w:rPr>
        <w:t xml:space="preserve">Service 1 — Investor Relations Strategy</w:t>
      </w:r>
    </w:p>
    <w:p>
      <w:pPr>
        <w:spacing w:after="100"/>
      </w:pPr>
      <w:r>
        <w:rPr>
          <w:i w:val="false"/>
          <w:iCs w:val="false"/>
          <w:color w:val="222222"/>
          <w:sz w:val="21"/>
          <w:szCs w:val="21"/>
        </w:rPr>
        <w:t xml:space="preserve">Building the institutional-grade IR infrastructure technology companies need to sustain long-term investor confidence.</w:t>
      </w:r>
    </w:p>
    <w:p>
      <w:pPr>
        <w:pStyle w:val="ListParagraph"/>
        <w:numPr>
          <w:ilvl w:val="0"/>
          <w:numId w:val="2"/>
        </w:numPr>
        <w:spacing w:after="50"/>
      </w:pPr>
      <w:r>
        <w:rPr>
          <w:sz w:val="21"/>
          <w:szCs w:val="21"/>
        </w:rPr>
        <w:t xml:space="preserve">Equity narrative development and positioning</w:t>
      </w:r>
    </w:p>
    <w:p>
      <w:pPr>
        <w:pStyle w:val="ListParagraph"/>
        <w:numPr>
          <w:ilvl w:val="0"/>
          <w:numId w:val="2"/>
        </w:numPr>
        <w:spacing w:after="50"/>
      </w:pPr>
      <w:r>
        <w:rPr>
          <w:sz w:val="21"/>
          <w:szCs w:val="21"/>
        </w:rPr>
        <w:t xml:space="preserve">IR program design and implementation</w:t>
      </w:r>
    </w:p>
    <w:p>
      <w:pPr>
        <w:pStyle w:val="ListParagraph"/>
        <w:numPr>
          <w:ilvl w:val="0"/>
          <w:numId w:val="2"/>
        </w:numPr>
        <w:spacing w:after="50"/>
      </w:pPr>
      <w:r>
        <w:rPr>
          <w:sz w:val="21"/>
          <w:szCs w:val="21"/>
        </w:rPr>
        <w:t xml:space="preserve">Earnings call preparation and messaging</w:t>
      </w:r>
    </w:p>
    <w:p>
      <w:pPr>
        <w:pStyle w:val="ListParagraph"/>
        <w:numPr>
          <w:ilvl w:val="0"/>
          <w:numId w:val="2"/>
        </w:numPr>
        <w:spacing w:after="50"/>
      </w:pPr>
      <w:r>
        <w:rPr>
          <w:sz w:val="21"/>
          <w:szCs w:val="21"/>
        </w:rPr>
        <w:t xml:space="preserve">Analyst day strategy and content</w:t>
      </w:r>
    </w:p>
    <w:p>
      <w:pPr>
        <w:pStyle w:val="Heading2"/>
        <w:spacing w:after="100" w:before="260"/>
      </w:pPr>
      <w:r>
        <w:rPr>
          <w:b/>
          <w:bCs/>
          <w:color w:val="16223F"/>
          <w:sz w:val="24"/>
          <w:szCs w:val="24"/>
        </w:rPr>
        <w:t xml:space="preserve">Service 2 — IPO Advisory &amp; Readiness</w:t>
      </w:r>
    </w:p>
    <w:p>
      <w:pPr>
        <w:spacing w:after="100"/>
      </w:pPr>
      <w:r>
        <w:rPr>
          <w:i w:val="false"/>
          <w:iCs w:val="false"/>
          <w:color w:val="222222"/>
          <w:sz w:val="21"/>
          <w:szCs w:val="21"/>
        </w:rPr>
        <w:t xml:space="preserve">End-to-end preparation that helps technology companies present institutional-quality narratives at the moment of going public.</w:t>
      </w:r>
    </w:p>
    <w:p>
      <w:pPr>
        <w:pStyle w:val="ListParagraph"/>
        <w:numPr>
          <w:ilvl w:val="0"/>
          <w:numId w:val="2"/>
        </w:numPr>
        <w:spacing w:after="50"/>
      </w:pPr>
      <w:r>
        <w:rPr>
          <w:sz w:val="21"/>
          <w:szCs w:val="21"/>
        </w:rPr>
        <w:t xml:space="preserve">IPO readiness assessment and gap analysis</w:t>
      </w:r>
    </w:p>
    <w:p>
      <w:pPr>
        <w:pStyle w:val="ListParagraph"/>
        <w:numPr>
          <w:ilvl w:val="0"/>
          <w:numId w:val="2"/>
        </w:numPr>
        <w:spacing w:after="50"/>
      </w:pPr>
      <w:r>
        <w:rPr>
          <w:sz w:val="21"/>
          <w:szCs w:val="21"/>
        </w:rPr>
        <w:t xml:space="preserve">S-1 narrative and financial story development</w:t>
      </w:r>
    </w:p>
    <w:p>
      <w:pPr>
        <w:pStyle w:val="ListParagraph"/>
        <w:numPr>
          <w:ilvl w:val="0"/>
          <w:numId w:val="2"/>
        </w:numPr>
        <w:spacing w:after="50"/>
      </w:pPr>
      <w:r>
        <w:rPr>
          <w:sz w:val="21"/>
          <w:szCs w:val="21"/>
        </w:rPr>
        <w:t xml:space="preserve">Roadshow preparation and coaching</w:t>
      </w:r>
    </w:p>
    <w:p>
      <w:pPr>
        <w:pStyle w:val="ListParagraph"/>
        <w:numPr>
          <w:ilvl w:val="0"/>
          <w:numId w:val="2"/>
        </w:numPr>
        <w:spacing w:after="50"/>
      </w:pPr>
      <w:r>
        <w:rPr>
          <w:sz w:val="21"/>
          <w:szCs w:val="21"/>
        </w:rPr>
        <w:t xml:space="preserve">Management Q&amp;A preparation</w:t>
      </w:r>
    </w:p>
    <w:p>
      <w:pPr>
        <w:pStyle w:val="ListParagraph"/>
        <w:numPr>
          <w:ilvl w:val="0"/>
          <w:numId w:val="2"/>
        </w:numPr>
        <w:spacing w:after="50"/>
      </w:pPr>
      <w:r>
        <w:rPr>
          <w:sz w:val="21"/>
          <w:szCs w:val="21"/>
        </w:rPr>
        <w:t xml:space="preserve">Post-IPO IR program transition</w:t>
      </w:r>
    </w:p>
    <w:p>
      <w:pPr>
        <w:pStyle w:val="Heading2"/>
        <w:spacing w:after="100" w:before="260"/>
      </w:pPr>
      <w:r>
        <w:rPr>
          <w:b/>
          <w:bCs/>
          <w:color w:val="16223F"/>
          <w:sz w:val="24"/>
          <w:szCs w:val="24"/>
        </w:rPr>
        <w:t xml:space="preserve">Service 3 — Capital Markets Communications</w:t>
      </w:r>
    </w:p>
    <w:p>
      <w:pPr>
        <w:spacing w:after="100"/>
      </w:pPr>
      <w:r>
        <w:rPr>
          <w:i w:val="false"/>
          <w:iCs w:val="false"/>
          <w:color w:val="222222"/>
          <w:sz w:val="21"/>
          <w:szCs w:val="21"/>
        </w:rPr>
        <w:t xml:space="preserve">Strategic communications that translate complex technology operating models into language institutional investors act on.</w:t>
      </w:r>
    </w:p>
    <w:p>
      <w:pPr>
        <w:pStyle w:val="ListParagraph"/>
        <w:numPr>
          <w:ilvl w:val="0"/>
          <w:numId w:val="2"/>
        </w:numPr>
        <w:spacing w:after="50"/>
      </w:pPr>
      <w:r>
        <w:rPr>
          <w:sz w:val="21"/>
          <w:szCs w:val="21"/>
        </w:rPr>
        <w:t xml:space="preserve">Investor presentation development</w:t>
      </w:r>
    </w:p>
    <w:p>
      <w:pPr>
        <w:pStyle w:val="ListParagraph"/>
        <w:numPr>
          <w:ilvl w:val="0"/>
          <w:numId w:val="2"/>
        </w:numPr>
        <w:spacing w:after="50"/>
      </w:pPr>
      <w:r>
        <w:rPr>
          <w:sz w:val="21"/>
          <w:szCs w:val="21"/>
        </w:rPr>
        <w:t xml:space="preserve">Financial metrics and KPI frameworks</w:t>
      </w:r>
    </w:p>
    <w:p>
      <w:pPr>
        <w:pStyle w:val="ListParagraph"/>
        <w:numPr>
          <w:ilvl w:val="0"/>
          <w:numId w:val="2"/>
        </w:numPr>
        <w:spacing w:after="50"/>
      </w:pPr>
      <w:r>
        <w:rPr>
          <w:sz w:val="21"/>
          <w:szCs w:val="21"/>
        </w:rPr>
        <w:t xml:space="preserve">Crisis and situational communications</w:t>
      </w:r>
    </w:p>
    <w:p>
      <w:pPr>
        <w:pStyle w:val="ListParagraph"/>
        <w:numPr>
          <w:ilvl w:val="0"/>
          <w:numId w:val="2"/>
        </w:numPr>
        <w:spacing w:after="50"/>
      </w:pPr>
      <w:r>
        <w:rPr>
          <w:sz w:val="21"/>
          <w:szCs w:val="21"/>
        </w:rPr>
        <w:t xml:space="preserve">Follow-on offering support</w:t>
      </w:r>
    </w:p>
    <w:p>
      <w:pPr>
        <w:pStyle w:val="ListParagraph"/>
        <w:numPr>
          <w:ilvl w:val="0"/>
          <w:numId w:val="2"/>
        </w:numPr>
        <w:spacing w:after="50"/>
      </w:pPr>
      <w:r>
        <w:rPr>
          <w:sz w:val="21"/>
          <w:szCs w:val="21"/>
        </w:rPr>
        <w:t xml:space="preserve">M&amp;A and strategic event communications</w:t>
      </w:r>
    </w:p>
    <w:p>
      <w:pPr>
        <w:pStyle w:val="Heading2"/>
        <w:spacing w:after="100" w:before="260"/>
      </w:pPr>
      <w:r>
        <w:rPr>
          <w:b/>
          <w:bCs/>
          <w:color w:val="16223F"/>
          <w:sz w:val="24"/>
          <w:szCs w:val="24"/>
        </w:rPr>
        <w:t xml:space="preserve">Proprietary Frameworks Section</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Methodologies built over 25 years, now backed by working software.</w:t>
      </w:r>
    </w:p>
    <w:p>
      <w:pPr>
        <w:spacing w:after="100"/>
      </w:pPr>
      <w:r>
        <w:rPr>
          <w:i w:val="false"/>
          <w:iCs w:val="false"/>
          <w:color w:val="222222"/>
          <w:sz w:val="21"/>
          <w:szCs w:val="21"/>
        </w:rPr>
        <w:t xml:space="preserve">Every framework below started as a discipline learned across 20+ IPOs and two decades on Wall Street. Each one now runs, in production, inside the Praxis Point platform.</w:t>
      </w:r>
    </w:p>
    <w:p>
      <w:pPr>
        <w:spacing w:after="60" w:before="160"/>
      </w:pPr>
      <w:r>
        <w:rPr>
          <w:b/>
          <w:bCs/>
          <w:color w:val="3A4356"/>
          <w:sz w:val="21"/>
          <w:szCs w:val="21"/>
        </w:rPr>
        <w:t xml:space="preserve">Framework 01 — Praxis Ownership Model™</w:t>
      </w:r>
    </w:p>
    <w:p>
      <w:pPr>
        <w:spacing w:after="100"/>
      </w:pPr>
      <w:r>
        <w:rPr>
          <w:i w:val="false"/>
          <w:iCs w:val="false"/>
          <w:color w:val="222222"/>
          <w:sz w:val="21"/>
          <w:szCs w:val="21"/>
        </w:rPr>
        <w:t xml:space="preserve">Identify, target, and cultivate the long-term institutional investors aligned with your growth profile, capital allocation strategy, and valuation objectives.</w:t>
      </w:r>
    </w:p>
    <w:p>
      <w:pPr>
        <w:spacing w:after="100"/>
      </w:pPr>
      <w:r>
        <w:rPr>
          <w:i/>
          <w:iCs/>
          <w:color w:val="222222"/>
          <w:sz w:val="21"/>
          <w:szCs w:val="21"/>
        </w:rPr>
        <w:t xml:space="preserve">Powered by: the platform's Fit Score engine — six-component scoring against real 13F ownership data, P1–P5 priority tiers.</w:t>
      </w:r>
    </w:p>
    <w:p>
      <w:pPr>
        <w:spacing w:after="60" w:before="160"/>
      </w:pPr>
      <w:r>
        <w:rPr>
          <w:b/>
          <w:bCs/>
          <w:color w:val="3A4356"/>
          <w:sz w:val="21"/>
          <w:szCs w:val="21"/>
        </w:rPr>
        <w:t xml:space="preserve">Framework 02 — Praxis Readiness Scorecard™</w:t>
      </w:r>
    </w:p>
    <w:p>
      <w:pPr>
        <w:spacing w:after="100"/>
      </w:pPr>
      <w:r>
        <w:rPr>
          <w:i w:val="false"/>
          <w:iCs w:val="false"/>
          <w:color w:val="222222"/>
          <w:sz w:val="21"/>
          <w:szCs w:val="21"/>
        </w:rPr>
        <w:t xml:space="preserve">Evaluate IPO and public-company readiness across management, governance, reporting systems, financial controls, and investor communications.</w:t>
      </w:r>
    </w:p>
    <w:p>
      <w:pPr>
        <w:spacing w:after="100"/>
      </w:pPr>
      <w:r>
        <w:rPr>
          <w:i/>
          <w:iCs/>
          <w:color w:val="222222"/>
          <w:sz w:val="21"/>
          <w:szCs w:val="21"/>
        </w:rPr>
        <w:t xml:space="preserve">Powered by: the platform's 24-indicator IR Risk Dashboard — computed from real sources, honest where data doesn't exist yet.</w:t>
      </w:r>
    </w:p>
    <w:p>
      <w:pPr>
        <w:spacing w:after="60" w:before="160"/>
      </w:pPr>
      <w:r>
        <w:rPr>
          <w:b/>
          <w:bCs/>
          <w:color w:val="3A4356"/>
          <w:sz w:val="21"/>
          <w:szCs w:val="21"/>
        </w:rPr>
        <w:t xml:space="preserve">Framework 03 — Consensus Expectations Model™</w:t>
      </w:r>
    </w:p>
    <w:p>
      <w:pPr>
        <w:spacing w:after="100"/>
      </w:pPr>
      <w:r>
        <w:rPr>
          <w:i w:val="false"/>
          <w:iCs w:val="false"/>
          <w:color w:val="222222"/>
          <w:sz w:val="21"/>
          <w:szCs w:val="21"/>
        </w:rPr>
        <w:t xml:space="preserve">Track analyst estimates, identify consensus risk, model earnings scenarios, and proactively manage investor expectations before quarterly results.</w:t>
      </w:r>
    </w:p>
    <w:p>
      <w:pPr>
        <w:spacing w:after="100"/>
      </w:pPr>
      <w:r>
        <w:rPr>
          <w:i/>
          <w:iCs/>
          <w:color w:val="222222"/>
          <w:sz w:val="21"/>
          <w:szCs w:val="21"/>
        </w:rPr>
        <w:t xml:space="preserve">Powered by: the platform's durable Consensus Tracker and PT Drift monitoring — full history, not a snapshot.</w:t>
      </w:r>
    </w:p>
    <w:p>
      <w:pPr>
        <w:spacing w:after="60" w:before="160"/>
      </w:pPr>
      <w:r>
        <w:rPr>
          <w:b/>
          <w:bCs/>
          <w:color w:val="3A4356"/>
          <w:sz w:val="21"/>
          <w:szCs w:val="21"/>
        </w:rPr>
        <w:t xml:space="preserve">Framework 04 — Guidance Analytics Framework™</w:t>
      </w:r>
    </w:p>
    <w:p>
      <w:pPr>
        <w:spacing w:after="100"/>
      </w:pPr>
      <w:r>
        <w:rPr>
          <w:i w:val="false"/>
          <w:iCs w:val="false"/>
          <w:color w:val="222222"/>
          <w:sz w:val="21"/>
          <w:szCs w:val="21"/>
        </w:rPr>
        <w:t xml:space="preserve">Forecasting frameworks, scenario analysis, and KPI tracking systems that improve guidance accuracy, investor confidence, and valuation credibility.</w:t>
      </w:r>
    </w:p>
    <w:p>
      <w:pPr>
        <w:spacing w:after="100"/>
      </w:pPr>
      <w:r>
        <w:rPr>
          <w:i/>
          <w:iCs/>
          <w:color w:val="222222"/>
          <w:sz w:val="21"/>
          <w:szCs w:val="21"/>
        </w:rPr>
        <w:t xml:space="preserve">Powered by: the platform's Guidance &amp; Outlook Decision Engine — recommends the guidance action, drafts the language.</w:t>
      </w:r>
    </w:p>
    <w:p>
      <w:pPr>
        <w:pStyle w:val="Heading2"/>
        <w:spacing w:after="100" w:before="260"/>
      </w:pPr>
      <w:r>
        <w:rPr>
          <w:b/>
          <w:bCs/>
          <w:color w:val="16223F"/>
          <w:sz w:val="24"/>
          <w:szCs w:val="24"/>
        </w:rPr>
        <w:t xml:space="preserve">Process Section</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A structured approach to capital markets success</w:t>
      </w:r>
    </w:p>
    <w:p>
      <w:pPr>
        <w:spacing w:after="100"/>
      </w:pPr>
      <w:r>
        <w:rPr>
          <w:i w:val="false"/>
          <w:iCs w:val="false"/>
          <w:color w:val="222222"/>
          <w:sz w:val="21"/>
          <w:szCs w:val="21"/>
        </w:rPr>
        <w:t xml:space="preserve">A disciplined investor relations process designed to improve credibility, valuation, and shareholder engagement.</w:t>
      </w:r>
    </w:p>
    <w:p>
      <w:pPr>
        <w:spacing w:after="60" w:before="160"/>
      </w:pPr>
      <w:r>
        <w:rPr>
          <w:b/>
          <w:bCs/>
          <w:color w:val="3A4356"/>
          <w:sz w:val="21"/>
          <w:szCs w:val="21"/>
        </w:rPr>
        <w:t xml:space="preserve">01 Assess</w:t>
      </w:r>
    </w:p>
    <w:p>
      <w:pPr>
        <w:spacing w:after="100"/>
      </w:pPr>
      <w:r>
        <w:rPr>
          <w:i w:val="false"/>
          <w:iCs w:val="false"/>
          <w:color w:val="222222"/>
          <w:sz w:val="21"/>
          <w:szCs w:val="21"/>
        </w:rPr>
        <w:t xml:space="preserve">Evaluate current investor positioning, communications infrastructure, narrative clarity, and institutional perception gaps.</w:t>
      </w:r>
    </w:p>
    <w:p>
      <w:pPr>
        <w:spacing w:after="60" w:before="160"/>
      </w:pPr>
      <w:r>
        <w:rPr>
          <w:b/>
          <w:bCs/>
          <w:color w:val="3A4356"/>
          <w:sz w:val="21"/>
          <w:szCs w:val="21"/>
        </w:rPr>
        <w:t xml:space="preserve">02 Measure</w:t>
      </w:r>
    </w:p>
    <w:p>
      <w:pPr>
        <w:spacing w:after="100"/>
      </w:pPr>
      <w:r>
        <w:rPr>
          <w:i w:val="false"/>
          <w:iCs w:val="false"/>
          <w:color w:val="222222"/>
          <w:sz w:val="21"/>
          <w:szCs w:val="21"/>
        </w:rPr>
        <w:t xml:space="preserve">Benchmark against peer companies, analyst coverage quality, investor base composition, and capital markets performance.</w:t>
      </w:r>
    </w:p>
    <w:p>
      <w:pPr>
        <w:spacing w:after="60" w:before="160"/>
      </w:pPr>
      <w:r>
        <w:rPr>
          <w:b/>
          <w:bCs/>
          <w:color w:val="3A4356"/>
          <w:sz w:val="21"/>
          <w:szCs w:val="21"/>
        </w:rPr>
        <w:t xml:space="preserve">03 Position</w:t>
      </w:r>
    </w:p>
    <w:p>
      <w:pPr>
        <w:spacing w:after="100"/>
      </w:pPr>
      <w:r>
        <w:rPr>
          <w:i w:val="false"/>
          <w:iCs w:val="false"/>
          <w:color w:val="222222"/>
          <w:sz w:val="21"/>
          <w:szCs w:val="21"/>
        </w:rPr>
        <w:t xml:space="preserve">Develop differentiated equity narrative, financial frameworks, and institutional messaging that drives investor conviction.</w:t>
      </w:r>
    </w:p>
    <w:p>
      <w:pPr>
        <w:spacing w:after="60" w:before="160"/>
      </w:pPr>
      <w:r>
        <w:rPr>
          <w:b/>
          <w:bCs/>
          <w:color w:val="3A4356"/>
          <w:sz w:val="21"/>
          <w:szCs w:val="21"/>
        </w:rPr>
        <w:t xml:space="preserve">04 Engage</w:t>
      </w:r>
    </w:p>
    <w:p>
      <w:pPr>
        <w:spacing w:after="100"/>
      </w:pPr>
      <w:r>
        <w:rPr>
          <w:i w:val="false"/>
          <w:iCs w:val="false"/>
          <w:color w:val="222222"/>
          <w:sz w:val="21"/>
          <w:szCs w:val="21"/>
        </w:rPr>
        <w:t xml:space="preserve">Execute targeted institutional outreach, prepare management for investor dialogue, and build durable capital markets relationships.</w:t>
      </w:r>
    </w:p>
    <w:p>
      <w:pPr>
        <w:pStyle w:val="Heading2"/>
        <w:spacing w:after="100" w:before="260"/>
      </w:pPr>
      <w:r>
        <w:rPr>
          <w:b/>
          <w:bCs/>
          <w:color w:val="16223F"/>
          <w:sz w:val="24"/>
          <w:szCs w:val="24"/>
        </w:rPr>
        <w:t xml:space="preserve">Closing CTA</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Ready to strengthen your investor story?</w:t>
      </w:r>
    </w:p>
    <w:p>
      <w:pPr>
        <w:spacing w:after="100"/>
      </w:pPr>
      <w:r>
        <w:rPr>
          <w:i w:val="false"/>
          <w:iCs w:val="false"/>
          <w:color w:val="222222"/>
          <w:sz w:val="21"/>
          <w:szCs w:val="21"/>
        </w:rPr>
        <w:t xml:space="preserve">Whether preparing for an IPO, improving investor engagement, or refining your equity story, Praxis Point Advisory provides the expertise — and the platform — to help management teams communicate with confidence.</w:t>
      </w:r>
    </w:p>
    <w:p>
      <w:pPr>
        <w:spacing w:after="100"/>
      </w:pPr>
      <w:r>
        <w:rPr>
          <w:i w:val="false"/>
          <w:iCs w:val="false"/>
          <w:color w:val="222222"/>
          <w:sz w:val="21"/>
          <w:szCs w:val="21"/>
        </w:rPr>
        <w:t xml:space="preserve">Button: "Schedule a Strategy Call"</w:t>
      </w:r>
    </w:p>
    <w:p>
      <w:pPr>
        <w:pBdr>
          <w:bottom w:val="single" w:color="D8D2C4" w:sz="6"/>
        </w:pBdr>
        <w:spacing w:after="200" w:before="100"/>
      </w:pPr>
    </w:p>
    <w:p>
      <w:pPr>
        <w:pStyle w:val="Heading1"/>
        <w:spacing w:after="160" w:before="200"/>
      </w:pPr>
      <w:r>
        <w:rPr>
          <w:b/>
          <w:bCs/>
          <w:color w:val="16223F"/>
          <w:sz w:val="32"/>
          <w:szCs w:val="32"/>
        </w:rPr>
        <w:t xml:space="preserve">Page 4 — About (about.html)</w:t>
      </w:r>
    </w:p>
    <w:tbl>
      <w:tblPr>
        <w:tblW w:type="pct" w:w="100%"/>
        <w:tblBorders>
          <w:top w:val="single" w:color="C9BFA5" w:sz="4"/>
          <w:left w:val="single" w:color="C9BFA5" w:sz="4"/>
          <w:bottom w:val="single" w:color="C9BFA5" w:sz="4"/>
          <w:right w:val="single" w:color="C9BFA5" w:sz="4"/>
          <w:insideH w:val="none" w:color="FFFFFF" w:sz="0"/>
          <w:insideV w:val="none" w:color="FFFFFF" w:sz="0"/>
        </w:tblBorders>
      </w:tblPr>
      <w:tblGrid>
        <w:gridCol w:w="100"/>
      </w:tblGrid>
      <w:tr>
        <w:tc>
          <w:tcPr>
            <w:tcW w:type="pct" w:w="100%"/>
            <w:shd w:fill="F3EFE6" w:val="clear"/>
            <w:tcMar>
              <w:top w:type="dxa" w:w="120"/>
              <w:left w:type="dxa" w:w="160"/>
              <w:bottom w:type="dxa" w:w="120"/>
              <w:right w:type="dxa" w:w="160"/>
            </w:tcMar>
          </w:tcPr>
          <w:p>
            <w:pPr>
              <w:spacing w:after="40"/>
            </w:pPr>
            <w:r>
              <w:rPr>
                <w:b/>
                <w:bCs/>
                <w:color w:val="9C7A34"/>
                <w:sz w:val="17"/>
                <w:szCs w:val="17"/>
              </w:rPr>
              <w:t xml:space="preserve">PAGE TITLE (browser tab)</w:t>
            </w:r>
          </w:p>
          <w:p>
            <w:pPr>
              <w:spacing w:after="100"/>
            </w:pPr>
            <w:r>
              <w:rPr>
                <w:color w:val="222222"/>
                <w:sz w:val="19"/>
                <w:szCs w:val="19"/>
              </w:rPr>
              <w:t xml:space="preserve">About Rob Breza | Praxis Point Advisory</w:t>
            </w:r>
          </w:p>
          <w:p>
            <w:pPr>
              <w:spacing w:after="40"/>
            </w:pPr>
            <w:r>
              <w:rPr>
                <w:b/>
                <w:bCs/>
                <w:color w:val="9C7A34"/>
                <w:sz w:val="17"/>
                <w:szCs w:val="17"/>
              </w:rPr>
              <w:t xml:space="preserve">META DESCRIPTION</w:t>
            </w:r>
          </w:p>
          <w:p>
            <w:r>
              <w:rPr>
                <w:color w:val="222222"/>
                <w:sz w:val="19"/>
                <w:szCs w:val="19"/>
              </w:rPr>
              <w:t xml:space="preserve">Robert Breza founded Praxis Point Advisory after 25+ years bridging technology, corporate finance, and Wall Street — advising 75+ technology companies across 20+ IPOs and follow-on offerings.</w:t>
            </w:r>
          </w:p>
        </w:tc>
      </w:tr>
    </w:tbl>
    <w:p>
      <w:pPr>
        <w:spacing w:after="80"/>
      </w:pPr>
    </w:p>
    <w:p>
      <w:pPr>
        <w:pStyle w:val="Heading2"/>
        <w:spacing w:after="100" w:before="260"/>
      </w:pPr>
      <w:r>
        <w:rPr>
          <w:b/>
          <w:bCs/>
          <w:color w:val="16223F"/>
          <w:sz w:val="24"/>
          <w:szCs w:val="24"/>
        </w:rPr>
        <w:t xml:space="preserve">Hero</w:t>
      </w:r>
    </w:p>
    <w:p>
      <w:pPr>
        <w:spacing w:after="60" w:before="160"/>
      </w:pPr>
      <w:r>
        <w:rPr>
          <w:b/>
          <w:bCs/>
          <w:color w:val="3A4356"/>
          <w:sz w:val="21"/>
          <w:szCs w:val="21"/>
        </w:rPr>
        <w:t xml:space="preserve">Eyebrow</w:t>
      </w:r>
    </w:p>
    <w:p>
      <w:pPr>
        <w:spacing w:after="100"/>
      </w:pPr>
      <w:r>
        <w:rPr>
          <w:i w:val="false"/>
          <w:iCs w:val="false"/>
          <w:color w:val="222222"/>
          <w:sz w:val="21"/>
          <w:szCs w:val="21"/>
        </w:rPr>
        <w:t xml:space="preserve">About Rob</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Senior-level capital markets experience.</w:t>
      </w:r>
    </w:p>
    <w:p>
      <w:pPr>
        <w:spacing w:after="100"/>
      </w:pPr>
      <w:r>
        <w:rPr>
          <w:i w:val="false"/>
          <w:iCs w:val="false"/>
          <w:color w:val="222222"/>
          <w:sz w:val="21"/>
          <w:szCs w:val="21"/>
        </w:rPr>
        <w:t xml:space="preserve">Robert Breza founded Praxis Point Advisory after a career spanning technology development, corporate finance, Wall Street research, and capital markets advisory.</w:t>
      </w:r>
    </w:p>
    <w:p>
      <w:pPr>
        <w:spacing w:after="100"/>
      </w:pPr>
      <w:r>
        <w:rPr>
          <w:i w:val="false"/>
          <w:iCs w:val="false"/>
          <w:color w:val="222222"/>
          <w:sz w:val="21"/>
          <w:szCs w:val="21"/>
        </w:rPr>
        <w:t xml:space="preserve">Prior to becoming a Managing Director at RBC Capital Markets, Robert spent nearly a decade in corporate operating roles focused on technology, FP&amp;A, corporate development, and M&amp;A. Early in his career, he developed a proprietary vulnerability assessment platform for the AS/400 ecosystem and led enterprise technology initiatives supporting hundreds of mission-critical systems.</w:t>
      </w:r>
    </w:p>
    <w:p>
      <w:pPr>
        <w:spacing w:after="60" w:before="160"/>
      </w:pPr>
      <w:r>
        <w:rPr>
          <w:b/>
          <w:bCs/>
          <w:color w:val="3A4356"/>
          <w:sz w:val="21"/>
          <w:szCs w:val="21"/>
        </w:rPr>
        <w:t xml:space="preserve">Stats</w:t>
      </w:r>
    </w:p>
    <w:p>
      <w:pPr>
        <w:spacing w:after="100"/>
      </w:pPr>
      <w:r>
        <w:rPr>
          <w:i w:val="false"/>
          <w:iCs w:val="false"/>
          <w:color w:val="222222"/>
          <w:sz w:val="21"/>
          <w:szCs w:val="21"/>
        </w:rPr>
        <w:t xml:space="preserve">25+ Years Experience   ·   75+ Technology Companies Covered   ·   20+ IPO &amp; Follow-on Deals   ·   $4T+ Market Cap Experience</w:t>
      </w:r>
    </w:p>
    <w:p>
      <w:pPr>
        <w:pStyle w:val="Heading2"/>
        <w:spacing w:after="100" w:before="260"/>
      </w:pPr>
      <w:r>
        <w:rPr>
          <w:b/>
          <w:bCs/>
          <w:color w:val="16223F"/>
          <w:sz w:val="24"/>
          <w:szCs w:val="24"/>
        </w:rPr>
        <w:t xml:space="preserve">Body Copy</w:t>
      </w:r>
    </w:p>
    <w:p>
      <w:pPr>
        <w:spacing w:after="100"/>
      </w:pPr>
      <w:r>
        <w:rPr>
          <w:i w:val="false"/>
          <w:iCs w:val="false"/>
          <w:color w:val="222222"/>
          <w:sz w:val="21"/>
          <w:szCs w:val="21"/>
        </w:rPr>
        <w:t xml:space="preserve">During more than two decades on Wall Street, Robert advised institutional investors and management teams across enterprise software, cybersecurity, cloud infrastructure, and emerging technology sectors. His experience includes more than 20 IPOs and follow-on offerings, extensive CEO and CFO engagement, and appearances on CNBC and Bloomberg Television.</w:t>
      </w:r>
    </w:p>
    <w:p>
      <w:pPr>
        <w:spacing w:after="100"/>
      </w:pPr>
      <w:r>
        <w:rPr>
          <w:i w:val="false"/>
          <w:iCs w:val="false"/>
          <w:color w:val="222222"/>
          <w:sz w:val="21"/>
          <w:szCs w:val="21"/>
        </w:rPr>
        <w:t xml:space="preserve">Today, Praxis Point Advisory helps technology companies strengthen investor confidence, refine market positioning, and prepare for major public market milestones including IPOs, direct listings, follow-on offerings, and strategic transitions.</w:t>
      </w:r>
    </w:p>
    <w:p>
      <w:pPr>
        <w:spacing w:after="60" w:before="160"/>
      </w:pPr>
      <w:r>
        <w:rPr>
          <w:b/>
          <w:bCs/>
          <w:color w:val="3A4356"/>
          <w:sz w:val="21"/>
          <w:szCs w:val="21"/>
        </w:rPr>
        <w:t xml:space="preserve">Pull Quote — NEW</w:t>
      </w:r>
    </w:p>
    <w:p>
      <w:pPr>
        <w:spacing w:after="100"/>
      </w:pPr>
      <w:r>
        <w:rPr>
          <w:i/>
          <w:iCs/>
          <w:color w:val="222222"/>
          <w:sz w:val="21"/>
          <w:szCs w:val="21"/>
        </w:rPr>
        <w:t xml:space="preserve">"After 25 years watching IR teams rebuild the same tracker every quarter, I built the system I wished I'd had on the desk at RBC — one that computes the numbers instead of asking someone to guess them."</w:t>
      </w:r>
    </w:p>
    <w:p>
      <w:pPr>
        <w:spacing w:after="100"/>
      </w:pPr>
      <w:r>
        <w:rPr>
          <w:i w:val="false"/>
          <w:iCs w:val="false"/>
          <w:color w:val="222222"/>
          <w:sz w:val="21"/>
          <w:szCs w:val="21"/>
        </w:rPr>
        <w:t xml:space="preserve">That system is now the Praxis Point platform — the same institutional discipline, running underneath every client engagement.</w:t>
      </w:r>
    </w:p>
    <w:p>
      <w:pPr>
        <w:pStyle w:val="Heading2"/>
        <w:spacing w:after="100" w:before="260"/>
      </w:pPr>
      <w:r>
        <w:rPr>
          <w:b/>
          <w:bCs/>
          <w:color w:val="16223F"/>
          <w:sz w:val="24"/>
          <w:szCs w:val="24"/>
        </w:rPr>
        <w:t xml:space="preserve">Career Foundation Section</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A career built across four perspectives</w:t>
      </w:r>
    </w:p>
    <w:p>
      <w:pPr>
        <w:spacing w:after="100"/>
      </w:pPr>
      <w:r>
        <w:rPr>
          <w:i w:val="false"/>
          <w:iCs w:val="false"/>
          <w:color w:val="222222"/>
          <w:sz w:val="21"/>
          <w:szCs w:val="21"/>
        </w:rPr>
        <w:t xml:space="preserve">Few advisors have operated at the intersection of technology, corporate finance, Wall Street research, and capital markets simultaneously.</w:t>
      </w:r>
    </w:p>
    <w:p>
      <w:pPr>
        <w:spacing w:after="60" w:before="160"/>
      </w:pPr>
      <w:r>
        <w:rPr>
          <w:b/>
          <w:bCs/>
          <w:color w:val="3A4356"/>
          <w:sz w:val="21"/>
          <w:szCs w:val="21"/>
        </w:rPr>
        <w:t xml:space="preserve">Technology</w:t>
      </w:r>
    </w:p>
    <w:p>
      <w:pPr>
        <w:spacing w:after="100"/>
      </w:pPr>
      <w:r>
        <w:rPr>
          <w:i w:val="false"/>
          <w:iCs w:val="false"/>
          <w:color w:val="222222"/>
          <w:sz w:val="21"/>
          <w:szCs w:val="21"/>
        </w:rPr>
        <w:t xml:space="preserve">Enterprise software · Cybersecurity · Operating roles · Technology leadership</w:t>
      </w:r>
    </w:p>
    <w:p>
      <w:pPr>
        <w:spacing w:after="60" w:before="160"/>
      </w:pPr>
      <w:r>
        <w:rPr>
          <w:b/>
          <w:bCs/>
          <w:color w:val="3A4356"/>
          <w:sz w:val="21"/>
          <w:szCs w:val="21"/>
        </w:rPr>
        <w:t xml:space="preserve">Corporate Finance</w:t>
      </w:r>
    </w:p>
    <w:p>
      <w:pPr>
        <w:spacing w:after="100"/>
      </w:pPr>
      <w:r>
        <w:rPr>
          <w:i w:val="false"/>
          <w:iCs w:val="false"/>
          <w:color w:val="222222"/>
          <w:sz w:val="21"/>
          <w:szCs w:val="21"/>
        </w:rPr>
        <w:t xml:space="preserve">FP&amp;A · M&amp;A · Corporate development · Operating company perspective</w:t>
      </w:r>
    </w:p>
    <w:p>
      <w:pPr>
        <w:spacing w:after="60" w:before="160"/>
      </w:pPr>
      <w:r>
        <w:rPr>
          <w:b/>
          <w:bCs/>
          <w:color w:val="3A4356"/>
          <w:sz w:val="21"/>
          <w:szCs w:val="21"/>
        </w:rPr>
        <w:t xml:space="preserve">Wall Street</w:t>
      </w:r>
    </w:p>
    <w:p>
      <w:pPr>
        <w:spacing w:after="100"/>
      </w:pPr>
      <w:r>
        <w:rPr>
          <w:i w:val="false"/>
          <w:iCs w:val="false"/>
          <w:color w:val="222222"/>
          <w:sz w:val="21"/>
          <w:szCs w:val="21"/>
        </w:rPr>
        <w:t xml:space="preserve">Managing Director · RBC Capital Markets · Enterprise software research · CNBC &amp; Bloomberg Television</w:t>
      </w:r>
    </w:p>
    <w:p>
      <w:pPr>
        <w:spacing w:after="60" w:before="160"/>
      </w:pPr>
      <w:r>
        <w:rPr>
          <w:b/>
          <w:bCs/>
          <w:color w:val="3A4356"/>
          <w:sz w:val="21"/>
          <w:szCs w:val="21"/>
        </w:rPr>
        <w:t xml:space="preserve">Capital Markets</w:t>
      </w:r>
    </w:p>
    <w:p>
      <w:pPr>
        <w:spacing w:after="100"/>
      </w:pPr>
      <w:r>
        <w:rPr>
          <w:i w:val="false"/>
          <w:iCs w:val="false"/>
          <w:color w:val="222222"/>
          <w:sz w:val="21"/>
          <w:szCs w:val="21"/>
        </w:rPr>
        <w:t xml:space="preserve">20+ IPOs &amp; follow-ons · Investor relations advisory · Equity positioning &amp; strategic transitions · Institutional ownership strategy</w:t>
      </w:r>
    </w:p>
    <w:p>
      <w:pPr>
        <w:pStyle w:val="Heading2"/>
        <w:spacing w:after="100" w:before="260"/>
      </w:pPr>
      <w:r>
        <w:rPr>
          <w:b/>
          <w:bCs/>
          <w:color w:val="16223F"/>
          <w:sz w:val="24"/>
          <w:szCs w:val="24"/>
        </w:rPr>
        <w:t xml:space="preserve">"Why Clients Choose" Section</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Why clients choose Praxis Point</w:t>
      </w:r>
    </w:p>
    <w:p>
      <w:pPr>
        <w:spacing w:after="100"/>
      </w:pPr>
      <w:r>
        <w:rPr>
          <w:i w:val="false"/>
          <w:iCs w:val="false"/>
          <w:color w:val="222222"/>
          <w:sz w:val="21"/>
          <w:szCs w:val="21"/>
        </w:rPr>
        <w:t xml:space="preserve">Praxis Point combines operating experience, Wall Street credibility, and a working technology platform to help companies communicate more effectively with investors and prepare for major strategic milestones. The result is an advisor who has sat on every side of the table — as a technologist, a corporate development professional, a sell-side analyst, and a capital markets strategist — and who builds the tools to prove it.</w:t>
      </w:r>
    </w:p>
    <w:p>
      <w:pPr>
        <w:pStyle w:val="Heading2"/>
        <w:spacing w:after="100" w:before="260"/>
      </w:pPr>
      <w:r>
        <w:rPr>
          <w:b/>
          <w:bCs/>
          <w:color w:val="16223F"/>
          <w:sz w:val="24"/>
          <w:szCs w:val="24"/>
        </w:rPr>
        <w:t xml:space="preserve">Methodology Section</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The Praxis Point process</w:t>
      </w:r>
    </w:p>
    <w:p>
      <w:pPr>
        <w:spacing w:after="100"/>
      </w:pPr>
      <w:r>
        <w:rPr>
          <w:i w:val="false"/>
          <w:iCs w:val="false"/>
          <w:color w:val="222222"/>
          <w:sz w:val="21"/>
          <w:szCs w:val="21"/>
        </w:rPr>
        <w:t xml:space="preserve">A disciplined framework for building long-term investor credibility.</w:t>
      </w:r>
    </w:p>
    <w:p>
      <w:pPr>
        <w:spacing w:after="60" w:before="160"/>
      </w:pPr>
      <w:r>
        <w:rPr>
          <w:b/>
          <w:bCs/>
          <w:color w:val="3A4356"/>
          <w:sz w:val="21"/>
          <w:szCs w:val="21"/>
        </w:rPr>
        <w:t xml:space="preserve">01 Assess</w:t>
      </w:r>
    </w:p>
    <w:p>
      <w:pPr>
        <w:spacing w:after="100"/>
      </w:pPr>
      <w:r>
        <w:rPr>
          <w:i w:val="false"/>
          <w:iCs w:val="false"/>
          <w:color w:val="222222"/>
          <w:sz w:val="21"/>
          <w:szCs w:val="21"/>
        </w:rPr>
        <w:t xml:space="preserve">Investor perception review, pre-benchmarking, ownership analysis, gap identification.</w:t>
      </w:r>
    </w:p>
    <w:p>
      <w:pPr>
        <w:spacing w:after="60" w:before="160"/>
      </w:pPr>
      <w:r>
        <w:rPr>
          <w:b/>
          <w:bCs/>
          <w:color w:val="3A4356"/>
          <w:sz w:val="21"/>
          <w:szCs w:val="21"/>
        </w:rPr>
        <w:t xml:space="preserve">02 Position</w:t>
      </w:r>
    </w:p>
    <w:p>
      <w:pPr>
        <w:spacing w:after="100"/>
      </w:pPr>
      <w:r>
        <w:rPr>
          <w:i w:val="false"/>
          <w:iCs w:val="false"/>
          <w:color w:val="222222"/>
          <w:sz w:val="21"/>
          <w:szCs w:val="21"/>
        </w:rPr>
        <w:t xml:space="preserve">Equity story refinement, messaging framework, KPI alignment, narrative development.</w:t>
      </w:r>
    </w:p>
    <w:p>
      <w:pPr>
        <w:spacing w:after="60" w:before="160"/>
      </w:pPr>
      <w:r>
        <w:rPr>
          <w:b/>
          <w:bCs/>
          <w:color w:val="3A4356"/>
          <w:sz w:val="21"/>
          <w:szCs w:val="21"/>
        </w:rPr>
        <w:t xml:space="preserve">03 Engage</w:t>
      </w:r>
    </w:p>
    <w:p>
      <w:pPr>
        <w:spacing w:after="100"/>
      </w:pPr>
      <w:r>
        <w:rPr>
          <w:i w:val="false"/>
          <w:iCs w:val="false"/>
          <w:color w:val="222222"/>
          <w:sz w:val="21"/>
          <w:szCs w:val="21"/>
        </w:rPr>
        <w:t xml:space="preserve">Investor targeting strategy, analyst relationship development, conference planning, investor outreach execution.</w:t>
      </w:r>
    </w:p>
    <w:p>
      <w:pPr>
        <w:spacing w:after="60" w:before="160"/>
      </w:pPr>
      <w:r>
        <w:rPr>
          <w:b/>
          <w:bCs/>
          <w:color w:val="3A4356"/>
          <w:sz w:val="21"/>
          <w:szCs w:val="21"/>
        </w:rPr>
        <w:t xml:space="preserve">04 Execute</w:t>
      </w:r>
    </w:p>
    <w:p>
      <w:pPr>
        <w:spacing w:after="100"/>
      </w:pPr>
      <w:r>
        <w:rPr>
          <w:i w:val="false"/>
          <w:iCs w:val="false"/>
          <w:color w:val="222222"/>
          <w:sz w:val="21"/>
          <w:szCs w:val="21"/>
        </w:rPr>
        <w:t xml:space="preserve">Earnings preparation, investor presentations, capital markets support, strategic communication.</w:t>
      </w:r>
    </w:p>
    <w:p>
      <w:pPr>
        <w:pStyle w:val="Heading2"/>
        <w:spacing w:after="100" w:before="260"/>
      </w:pPr>
      <w:r>
        <w:rPr>
          <w:b/>
          <w:bCs/>
          <w:color w:val="16223F"/>
          <w:sz w:val="24"/>
          <w:szCs w:val="24"/>
        </w:rPr>
        <w:t xml:space="preserve">Closing CTA</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Ready to strengthen your investor story?</w:t>
      </w:r>
    </w:p>
    <w:p>
      <w:pPr>
        <w:spacing w:after="100"/>
      </w:pPr>
      <w:r>
        <w:rPr>
          <w:i w:val="false"/>
          <w:iCs w:val="false"/>
          <w:color w:val="222222"/>
          <w:sz w:val="21"/>
          <w:szCs w:val="21"/>
        </w:rPr>
        <w:t xml:space="preserve">Whether preparing for an IPO, refining your investor messaging, or engaging institutional investors, Praxis Point Advisory can navigate critical capital markets milestones with confidence.</w:t>
      </w:r>
    </w:p>
    <w:p>
      <w:pPr>
        <w:spacing w:after="100"/>
      </w:pPr>
      <w:r>
        <w:rPr>
          <w:i w:val="false"/>
          <w:iCs w:val="false"/>
          <w:color w:val="222222"/>
          <w:sz w:val="21"/>
          <w:szCs w:val="21"/>
        </w:rPr>
        <w:t xml:space="preserve">Button: "Schedule a Strategy Call"</w:t>
      </w:r>
    </w:p>
    <w:p>
      <w:pPr>
        <w:pBdr>
          <w:bottom w:val="single" w:color="D8D2C4" w:sz="6"/>
        </w:pBdr>
        <w:spacing w:after="200" w:before="100"/>
      </w:pPr>
    </w:p>
    <w:p>
      <w:pPr>
        <w:pStyle w:val="Heading1"/>
        <w:spacing w:after="160" w:before="200"/>
      </w:pPr>
      <w:r>
        <w:rPr>
          <w:b/>
          <w:bCs/>
          <w:color w:val="16223F"/>
          <w:sz w:val="32"/>
          <w:szCs w:val="32"/>
        </w:rPr>
        <w:t xml:space="preserve">Page 5 — Contact (contact.html)</w:t>
      </w:r>
    </w:p>
    <w:tbl>
      <w:tblPr>
        <w:tblW w:type="pct" w:w="100%"/>
        <w:tblBorders>
          <w:top w:val="single" w:color="C9BFA5" w:sz="4"/>
          <w:left w:val="single" w:color="C9BFA5" w:sz="4"/>
          <w:bottom w:val="single" w:color="C9BFA5" w:sz="4"/>
          <w:right w:val="single" w:color="C9BFA5" w:sz="4"/>
          <w:insideH w:val="none" w:color="FFFFFF" w:sz="0"/>
          <w:insideV w:val="none" w:color="FFFFFF" w:sz="0"/>
        </w:tblBorders>
      </w:tblPr>
      <w:tblGrid>
        <w:gridCol w:w="100"/>
      </w:tblGrid>
      <w:tr>
        <w:tc>
          <w:tcPr>
            <w:tcW w:type="pct" w:w="100%"/>
            <w:shd w:fill="F3EFE6" w:val="clear"/>
            <w:tcMar>
              <w:top w:type="dxa" w:w="120"/>
              <w:left w:type="dxa" w:w="160"/>
              <w:bottom w:type="dxa" w:w="120"/>
              <w:right w:type="dxa" w:w="160"/>
            </w:tcMar>
          </w:tcPr>
          <w:p>
            <w:pPr>
              <w:spacing w:after="40"/>
            </w:pPr>
            <w:r>
              <w:rPr>
                <w:b/>
                <w:bCs/>
                <w:color w:val="9C7A34"/>
                <w:sz w:val="17"/>
                <w:szCs w:val="17"/>
              </w:rPr>
              <w:t xml:space="preserve">PAGE TITLE (browser tab)</w:t>
            </w:r>
          </w:p>
          <w:p>
            <w:pPr>
              <w:spacing w:after="100"/>
            </w:pPr>
            <w:r>
              <w:rPr>
                <w:color w:val="222222"/>
                <w:sz w:val="19"/>
                <w:szCs w:val="19"/>
              </w:rPr>
              <w:t xml:space="preserve">Contact | Praxis Point Advisory</w:t>
            </w:r>
          </w:p>
          <w:p>
            <w:pPr>
              <w:spacing w:after="40"/>
            </w:pPr>
            <w:r>
              <w:rPr>
                <w:b/>
                <w:bCs/>
                <w:color w:val="9C7A34"/>
                <w:sz w:val="17"/>
                <w:szCs w:val="17"/>
              </w:rPr>
              <w:t xml:space="preserve">META DESCRIPTION</w:t>
            </w:r>
          </w:p>
          <w:p>
            <w:r>
              <w:rPr>
                <w:color w:val="222222"/>
                <w:sz w:val="19"/>
                <w:szCs w:val="19"/>
              </w:rPr>
              <w:t xml:space="preserve">Schedule a strategic consultation with Praxis Point Advisory to discuss your investor relations, IPO readiness, or capital markets objectives. We typically respond within one business day.</w:t>
            </w:r>
          </w:p>
        </w:tc>
      </w:tr>
    </w:tbl>
    <w:p>
      <w:pPr>
        <w:spacing w:after="80"/>
      </w:pPr>
    </w:p>
    <w:p>
      <w:pPr>
        <w:pStyle w:val="Heading2"/>
        <w:spacing w:after="100" w:before="260"/>
      </w:pPr>
      <w:r>
        <w:rPr>
          <w:b/>
          <w:bCs/>
          <w:color w:val="16223F"/>
          <w:sz w:val="24"/>
          <w:szCs w:val="24"/>
        </w:rPr>
        <w:t xml:space="preserve">Hero</w:t>
      </w:r>
    </w:p>
    <w:p>
      <w:pPr>
        <w:spacing w:after="60" w:before="160"/>
      </w:pPr>
      <w:r>
        <w:rPr>
          <w:b/>
          <w:bCs/>
          <w:color w:val="3A4356"/>
          <w:sz w:val="21"/>
          <w:szCs w:val="21"/>
        </w:rPr>
        <w:t xml:space="preserve">Eyebrow</w:t>
      </w:r>
    </w:p>
    <w:p>
      <w:pPr>
        <w:spacing w:after="100"/>
      </w:pPr>
      <w:r>
        <w:rPr>
          <w:i w:val="false"/>
          <w:iCs w:val="false"/>
          <w:color w:val="222222"/>
          <w:sz w:val="21"/>
          <w:szCs w:val="21"/>
        </w:rPr>
        <w:t xml:space="preserve">Get in Touch</w:t>
      </w:r>
    </w:p>
    <w:p>
      <w:pPr>
        <w:spacing w:after="60" w:before="160"/>
      </w:pPr>
      <w:r>
        <w:rPr>
          <w:b/>
          <w:bCs/>
          <w:color w:val="3A4356"/>
          <w:sz w:val="21"/>
          <w:szCs w:val="21"/>
        </w:rPr>
        <w:t xml:space="preserve">Headline</w:t>
      </w:r>
    </w:p>
    <w:p>
      <w:pPr>
        <w:spacing w:after="100"/>
      </w:pPr>
      <w:r>
        <w:rPr>
          <w:i w:val="false"/>
          <w:iCs w:val="false"/>
          <w:color w:val="222222"/>
          <w:sz w:val="21"/>
          <w:szCs w:val="21"/>
        </w:rPr>
        <w:t xml:space="preserve">Schedule a strategic consultation</w:t>
      </w:r>
    </w:p>
    <w:p>
      <w:pPr>
        <w:spacing w:after="100"/>
      </w:pPr>
      <w:r>
        <w:rPr>
          <w:i w:val="false"/>
          <w:iCs w:val="false"/>
          <w:color w:val="222222"/>
          <w:sz w:val="21"/>
          <w:szCs w:val="21"/>
        </w:rPr>
        <w:t xml:space="preserve">Tell us about your investor relations, capital markets, IPO, or strategic communications objectives. We typically respond within one business day.</w:t>
      </w:r>
    </w:p>
    <w:p>
      <w:pPr>
        <w:pStyle w:val="Heading2"/>
        <w:spacing w:after="100" w:before="260"/>
      </w:pPr>
      <w:r>
        <w:rPr>
          <w:b/>
          <w:bCs/>
          <w:color w:val="16223F"/>
          <w:sz w:val="24"/>
          <w:szCs w:val="24"/>
        </w:rPr>
        <w:t xml:space="preserve">Contact Details Card</w:t>
      </w:r>
    </w:p>
    <w:p>
      <w:pPr>
        <w:spacing w:after="100"/>
      </w:pPr>
      <w:r>
        <w:rPr>
          <w:i w:val="false"/>
          <w:iCs w:val="false"/>
          <w:color w:val="222222"/>
          <w:sz w:val="21"/>
          <w:szCs w:val="21"/>
        </w:rPr>
        <w:t xml:space="preserve">Reach out directly, or use the form to share a bit about your objectives first.</w:t>
      </w:r>
    </w:p>
    <w:p>
      <w:pPr>
        <w:spacing w:after="100"/>
      </w:pPr>
      <w:r>
        <w:rPr>
          <w:i w:val="false"/>
          <w:iCs w:val="false"/>
          <w:color w:val="222222"/>
          <w:sz w:val="21"/>
          <w:szCs w:val="21"/>
        </w:rPr>
        <w:t xml:space="preserve">contact@praxispointadvisory.com</w:t>
      </w:r>
    </w:p>
    <w:p>
      <w:pPr>
        <w:spacing w:after="100"/>
      </w:pPr>
      <w:r>
        <w:rPr>
          <w:i w:val="false"/>
          <w:iCs w:val="false"/>
          <w:color w:val="222222"/>
          <w:sz w:val="21"/>
          <w:szCs w:val="21"/>
        </w:rPr>
        <w:t xml:space="preserve">linkedin.com/in/robert-breza</w:t>
      </w:r>
    </w:p>
    <w:p>
      <w:pPr>
        <w:pStyle w:val="Heading2"/>
        <w:spacing w:after="100" w:before="260"/>
      </w:pPr>
      <w:r>
        <w:rPr>
          <w:b/>
          <w:bCs/>
          <w:color w:val="16223F"/>
          <w:sz w:val="24"/>
          <w:szCs w:val="24"/>
        </w:rPr>
        <w:t xml:space="preserve">Form Fields</w:t>
      </w:r>
    </w:p>
    <w:p>
      <w:pPr>
        <w:pStyle w:val="ListParagraph"/>
        <w:numPr>
          <w:ilvl w:val="0"/>
          <w:numId w:val="2"/>
        </w:numPr>
        <w:spacing w:after="50"/>
      </w:pPr>
      <w:r>
        <w:rPr>
          <w:sz w:val="21"/>
          <w:szCs w:val="21"/>
        </w:rPr>
        <w:t xml:space="preserve">Name</w:t>
      </w:r>
    </w:p>
    <w:p>
      <w:pPr>
        <w:pStyle w:val="ListParagraph"/>
        <w:numPr>
          <w:ilvl w:val="0"/>
          <w:numId w:val="2"/>
        </w:numPr>
        <w:spacing w:after="50"/>
      </w:pPr>
      <w:r>
        <w:rPr>
          <w:sz w:val="21"/>
          <w:szCs w:val="21"/>
        </w:rPr>
        <w:t xml:space="preserve">Company Email</w:t>
      </w:r>
    </w:p>
    <w:p>
      <w:pPr>
        <w:pStyle w:val="ListParagraph"/>
        <w:numPr>
          <w:ilvl w:val="0"/>
          <w:numId w:val="2"/>
        </w:numPr>
        <w:spacing w:after="50"/>
      </w:pPr>
      <w:r>
        <w:rPr>
          <w:sz w:val="21"/>
          <w:szCs w:val="21"/>
        </w:rPr>
        <w:t xml:space="preserve">Tell us about your capital markets objectives (textarea, placeholder: "A few sentences on what you're working toward — IPO timeline, current IR challenges, or where you'd like a second opinion.")</w:t>
      </w:r>
    </w:p>
    <w:p>
      <w:pPr>
        <w:spacing w:after="100"/>
      </w:pPr>
      <w:r>
        <w:rPr>
          <w:i w:val="false"/>
          <w:iCs w:val="false"/>
          <w:color w:val="222222"/>
          <w:sz w:val="21"/>
          <w:szCs w:val="21"/>
        </w:rPr>
        <w:t xml:space="preserve">Button: "Submit Inquiry"</w:t>
      </w:r>
    </w:p>
    <w:p>
      <w:pPr>
        <w:pBdr>
          <w:bottom w:val="single" w:color="D8D2C4" w:sz="6"/>
        </w:pBdr>
        <w:spacing w:after="200" w:before="100"/>
      </w:pPr>
    </w:p>
    <w:p>
      <w:pPr>
        <w:pStyle w:val="Heading1"/>
        <w:spacing w:after="160" w:before="200"/>
      </w:pPr>
      <w:r>
        <w:rPr>
          <w:b/>
          <w:bCs/>
          <w:color w:val="16223F"/>
          <w:sz w:val="32"/>
          <w:szCs w:val="32"/>
        </w:rPr>
        <w:t xml:space="preserve">Site-Wide Notes</w:t>
      </w:r>
    </w:p>
    <w:p>
      <w:pPr>
        <w:pStyle w:val="Heading2"/>
        <w:spacing w:after="100" w:before="260"/>
      </w:pPr>
      <w:r>
        <w:rPr>
          <w:b/>
          <w:bCs/>
          <w:color w:val="16223F"/>
          <w:sz w:val="24"/>
          <w:szCs w:val="24"/>
        </w:rPr>
        <w:t xml:space="preserve">Navigation (all 5 pages)</w:t>
      </w:r>
    </w:p>
    <w:p>
      <w:pPr>
        <w:spacing w:after="100"/>
      </w:pPr>
      <w:r>
        <w:rPr>
          <w:i w:val="false"/>
          <w:iCs w:val="false"/>
          <w:color w:val="222222"/>
          <w:sz w:val="21"/>
          <w:szCs w:val="21"/>
        </w:rPr>
        <w:t xml:space="preserve">Home · Platform · Services · About · Contact   —   persistent CTA button: "Schedule a Call" (shortened from "Schedule a Strategy Call" to fit the nav bar; full text used everywhere else)</w:t>
      </w:r>
    </w:p>
    <w:p>
      <w:pPr>
        <w:pStyle w:val="Heading2"/>
        <w:spacing w:after="100" w:before="260"/>
      </w:pPr>
      <w:r>
        <w:rPr>
          <w:b/>
          <w:bCs/>
          <w:color w:val="16223F"/>
          <w:sz w:val="24"/>
          <w:szCs w:val="24"/>
        </w:rPr>
        <w:t xml:space="preserve">Footer (all 5 pages)</w:t>
      </w:r>
    </w:p>
    <w:p>
      <w:pPr>
        <w:spacing w:after="100"/>
      </w:pPr>
      <w:r>
        <w:rPr>
          <w:i w:val="false"/>
          <w:iCs w:val="false"/>
          <w:color w:val="222222"/>
          <w:sz w:val="21"/>
          <w:szCs w:val="21"/>
        </w:rPr>
        <w:t xml:space="preserve">Praxis Point Advisory helps technology growth companies refine investor messaging, engage institutional investors, and prepare for IPOs, capital raises, and public market success — backed by a proprietary IR platform.</w:t>
      </w:r>
    </w:p>
    <w:p>
      <w:pPr>
        <w:spacing w:after="100"/>
      </w:pPr>
      <w:r>
        <w:rPr>
          <w:i w:val="false"/>
          <w:iCs w:val="false"/>
          <w:color w:val="222222"/>
          <w:sz w:val="21"/>
          <w:szCs w:val="21"/>
        </w:rPr>
        <w:t xml:space="preserve">Navigation: Home / Platform / Services / About / Contact</w:t>
      </w:r>
    </w:p>
    <w:p>
      <w:pPr>
        <w:spacing w:after="100"/>
      </w:pPr>
      <w:r>
        <w:rPr>
          <w:i w:val="false"/>
          <w:iCs w:val="false"/>
          <w:color w:val="222222"/>
          <w:sz w:val="21"/>
          <w:szCs w:val="21"/>
        </w:rPr>
        <w:t xml:space="preserve">Connect: LinkedIn (linkedin.com/in/robert-breza) · contact@praxispointadvisory.com</w:t>
      </w:r>
    </w:p>
    <w:p>
      <w:pPr>
        <w:spacing w:after="100"/>
      </w:pPr>
      <w:r>
        <w:rPr>
          <w:i w:val="false"/>
          <w:iCs w:val="false"/>
          <w:color w:val="222222"/>
          <w:sz w:val="21"/>
          <w:szCs w:val="21"/>
        </w:rPr>
        <w:t xml:space="preserve">© 2026 Praxis Point Advisory   |   Investor Relations &amp; IPO Advisory for Technology Companies</w:t>
      </w:r>
    </w:p>
    <w:p>
      <w:pPr>
        <w:pStyle w:val="Heading2"/>
        <w:spacing w:after="100" w:before="260"/>
      </w:pPr>
      <w:r>
        <w:rPr>
          <w:b/>
          <w:bCs/>
          <w:color w:val="16223F"/>
          <w:sz w:val="24"/>
          <w:szCs w:val="24"/>
        </w:rPr>
        <w:t xml:space="preserve">Items Flagged During Review (see prior chat message)</w:t>
      </w:r>
    </w:p>
    <w:p>
      <w:pPr>
        <w:pStyle w:val="ListParagraph"/>
        <w:numPr>
          <w:ilvl w:val="0"/>
          <w:numId w:val="2"/>
        </w:numPr>
        <w:spacing w:after="50"/>
      </w:pPr>
      <w:r>
        <w:rPr>
          <w:sz w:val="21"/>
          <w:szCs w:val="21"/>
        </w:rPr>
        <w:t xml:space="preserve">All 4 old pages had a leftover Framer template meta description ("The First Choice Formula™... hospitality and service leaders") — replaced on every page above with real, page-specific SEO copy.</w:t>
      </w:r>
    </w:p>
    <w:p>
      <w:pPr>
        <w:pStyle w:val="ListParagraph"/>
        <w:numPr>
          <w:ilvl w:val="0"/>
          <w:numId w:val="2"/>
        </w:numPr>
        <w:spacing w:after="50"/>
      </w:pPr>
      <w:r>
        <w:rPr>
          <w:sz w:val="21"/>
          <w:szCs w:val="21"/>
        </w:rPr>
        <w:t xml:space="preserve">The homepage testimonial (mismatched to "Joanna Winter, Administrative Business Partner at Google") was removed rather than replaced — no fabricated testimonial has been substituted. Swap in a real client quote once available.</w:t>
      </w:r>
    </w:p>
    <w:p>
      <w:pPr>
        <w:pStyle w:val="ListParagraph"/>
        <w:numPr>
          <w:ilvl w:val="0"/>
          <w:numId w:val="2"/>
        </w:numPr>
        <w:spacing w:after="50"/>
      </w:pPr>
      <w:r>
        <w:rPr>
          <w:sz w:val="21"/>
          <w:szCs w:val="21"/>
        </w:rPr>
        <w:t xml:space="preserve">Illustrative platform mockup numbers on Home/Platform pages are intentionally generic (not tied to any real client's actual figures) since no client is named publicly yet — swap for real screenshots once a client engagement allows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2026-07-12T18:11:36.967Z</dcterms:created>
  <dcterms:modified xsi:type="dcterms:W3CDTF">2026-07-12T18:11:36.967Z</dcterms:modified>
</cp:coreProperties>
</file>

<file path=docProps/custom.xml><?xml version="1.0" encoding="utf-8"?>
<Properties xmlns="http://schemas.openxmlformats.org/officeDocument/2006/custom-properties" xmlns:vt="http://schemas.openxmlformats.org/officeDocument/2006/docPropsVTypes"/>
</file>