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b/>
          <w:bCs/>
          <w:color w:val="534AB7"/>
          <w:sz w:val="14"/>
          <w:szCs w:val="14"/>
        </w:rPr>
        <w:t xml:space="preserve">IR QUARTERLY EXECUTION PLAN</w:t>
      </w:r>
    </w:p>
    <w:p>
      <w:pPr>
        <w:spacing w:after="60"/>
      </w:pPr>
      <w:r>
        <w:rPr>
          <w:b/>
          <w:bCs/>
          <w:sz w:val="26"/>
          <w:szCs w:val="26"/>
        </w:rPr>
        <w:t xml:space="preserve">90-Day IR Plan — June 19 to September 17, 2026</w:t>
      </w:r>
    </w:p>
    <w:p>
      <w:pPr>
        <w:spacing w:after="140"/>
      </w:pPr>
      <w:r>
        <w:rPr>
          <w:i/>
          <w:iCs/>
          <w:color w:val="5F5E5A"/>
          <w:sz w:val="14"/>
          <w:szCs w:val="14"/>
        </w:rPr>
        <w:t xml:space="preserve">Prepared by Paul Manley, SVP Investor Relations · covers the Q2 2026 earnings cycle and the Roth New York conference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534AB7"/>
                <w:sz w:val="22"/>
                <w:szCs w:val="22"/>
              </w:rPr>
              <w:t xml:space="preserve">90</w:t>
            </w:r>
          </w:p>
          <w:p>
            <w:pPr>
              <w:spacing w:before="25"/>
            </w:pPr>
            <w:r>
              <w:rPr>
                <w:color w:val="5F5E5A"/>
                <w:sz w:val="13"/>
                <w:szCs w:val="13"/>
              </w:rPr>
              <w:t xml:space="preserve">days in this window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3</w:t>
            </w:r>
          </w:p>
          <w:p>
            <w:pPr>
              <w:spacing w:before="25"/>
            </w:pPr>
            <w:r>
              <w:rPr>
                <w:color w:val="5F5E5A"/>
                <w:sz w:val="13"/>
                <w:szCs w:val="13"/>
              </w:rPr>
              <w:t xml:space="preserve">key events: blackout, earnings, Roth NY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A32D2D"/>
                <w:sz w:val="22"/>
                <w:szCs w:val="22"/>
              </w:rPr>
              <w:t xml:space="preserve">2</w:t>
            </w:r>
          </w:p>
          <w:p>
            <w:pPr>
              <w:spacing w:before="25"/>
            </w:pPr>
            <w:r>
              <w:rPr>
                <w:color w:val="5F5E5A"/>
                <w:sz w:val="13"/>
                <w:szCs w:val="13"/>
              </w:rPr>
              <w:t xml:space="preserve">blocking action items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633806"/>
                <w:sz w:val="22"/>
                <w:szCs w:val="22"/>
              </w:rPr>
              <w:t xml:space="preserve">~90%</w:t>
            </w:r>
          </w:p>
          <w:p>
            <w:pPr>
              <w:spacing w:before="25"/>
            </w:pPr>
            <w:r>
              <w:rPr>
                <w:color w:val="5F5E5A"/>
                <w:sz w:val="13"/>
                <w:szCs w:val="13"/>
              </w:rPr>
              <w:t xml:space="preserve">of the window is calendar-driven</w:t>
            </w:r>
          </w:p>
        </w:tc>
      </w:tr>
    </w:tbl>
    <w:p>
      <w:pPr>
        <w:spacing w:before="80"/>
      </w:pPr>
    </w:p>
    <w:p>
      <w:pPr>
        <w:pBdr>
          <w:bottom w:val="single" w:color="D3D1C7" w:sz="4" w:space="3"/>
        </w:pBdr>
        <w:spacing w:after="100"/>
      </w:pPr>
    </w:p>
    <w:p>
      <w:pPr>
        <w:pStyle w:val="Heading1"/>
      </w:pPr>
      <w:r>
        <w:t xml:space="preserve">Phase 1 — Pre-blackout (Jun 19 – Jul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60"/>
        <w:gridCol w:w="1100"/>
        <w:gridCol w:w="900"/>
      </w:tblGrid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Workstream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NOBO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Submit NOBO list request to transfer agent under Rule 14b-1(c); confirm record date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 / Corp. Secretary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Jul 3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791F1F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Sell-side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Follow up directly with 5th analyst; confirm continued coverage status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Jun 26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791F1F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Website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Sign up for visitor-ID tool (Leadfeeder-class) and install tracking script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 / Web vendor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Jun 30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633806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Index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Verify Russell Microcap status directly against FTSE Russell's published list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Jun 26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791F1F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Data maint.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Refresh peer/competitor roster; verify CTLP and IMXI status changes reflected everywhere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Jul 7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791F1F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1"/>
      </w:pPr>
      <w:r>
        <w:t xml:space="preserve">Phase 2 — Blackout &amp; earnings (Jul 15 – Aug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60"/>
        <w:gridCol w:w="1100"/>
        <w:gridCol w:w="900"/>
      </w:tblGrid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Workstream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Blackout opens; all-employee trading window notice auto-fires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 (auto)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Jul 15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85041"/>
                <w:sz w:val="16"/>
                <w:szCs w:val="16"/>
              </w:rPr>
              <w:t xml:space="preserve">Set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Script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Run “what's new” intake; draft Q2 script weighted on historical archive; counsel review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 / Counsel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Jul 24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85041"/>
                <w:sz w:val="16"/>
                <w:szCs w:val="16"/>
              </w:rPr>
              <w:t xml:space="preserve">Set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Earnings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Q2 2026 earnings release and call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CEO / CFO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Aug 5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85041"/>
                <w:sz w:val="16"/>
                <w:szCs w:val="16"/>
              </w:rPr>
              <w:t xml:space="preserve">Set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Callbacks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Tiered analyst and shareholder callbacks, post-earnings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CEO / CFO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Aug 5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85041"/>
                <w:sz w:val="16"/>
                <w:szCs w:val="16"/>
              </w:rPr>
              <w:t xml:space="preserve">Set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Blackout window reopens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 (auto)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Aug 7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85041"/>
                <w:sz w:val="16"/>
                <w:szCs w:val="16"/>
              </w:rPr>
              <w:t xml:space="preserve">Set</w:t>
            </w:r>
          </w:p>
        </w:tc>
      </w:tr>
    </w:tbl>
    <w:p>
      <w:pPr>
        <w:pStyle w:val="Heading1"/>
      </w:pPr>
      <w:r>
        <w:t xml:space="preserve">Phase 3 — Post-earnings &amp; Roth NY (Aug 8 – Sep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60"/>
        <w:gridCol w:w="1100"/>
        <w:gridCol w:w="900"/>
      </w:tblGrid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Workstream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Audit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Run post-call audit scorecard (expected vs. actual); re-run market correlation test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Aug 12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791F1F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Board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Refresh Quarterly IR Board Package and Risk Register with Q2 results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Aug 14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791F1F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NOBO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Receive NOBO file; build matching logic vs. 13F and website-ID data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Aug 21*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6338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Conference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Roth — New York: meetings list ingestion, prospect flagging, travel calendar sync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 / CEO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Sep 14–16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85041"/>
                <w:sz w:val="16"/>
                <w:szCs w:val="16"/>
              </w:rPr>
              <w:t xml:space="preserve">Confirmed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5F5E5A"/>
                <w:sz w:val="16"/>
                <w:szCs w:val="16"/>
              </w:rPr>
              <w:t xml:space="preserve">Conference</w:t>
            </w:r>
          </w:p>
        </w:tc>
        <w:tc>
          <w:tcPr>
            <w:tcW w:type="dxa" w:w="4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Post-Roth NY follow-up: new contacts added to prospect tracking</w:t>
            </w:r>
          </w:p>
        </w:tc>
        <w:tc>
          <w:tcPr>
            <w:tcW w:type="dxa" w:w="16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IR</w:t>
            </w:r>
          </w:p>
        </w:tc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Sep 17</w:t>
            </w:r>
          </w:p>
        </w:tc>
        <w:tc>
          <w:tcPr>
            <w:tcW w:type="dxa" w:w="9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633806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140"/>
      </w:pPr>
      <w:r>
        <w:rPr>
          <w:i/>
          <w:iCs/>
          <w:color w:val="5F5E5A"/>
          <w:sz w:val="14"/>
          <w:szCs w:val="14"/>
        </w:rPr>
        <w:t xml:space="preserve">*Target date for NOBO receipt is an estimate — actual timing depends on transfer agent turnaround once the request is submitted in Phase 1.</w:t>
      </w:r>
    </w:p>
    <w:p>
      <w:pPr>
        <w:pStyle w:val="Heading1"/>
      </w:pPr>
      <w:r>
        <w:t xml:space="preserve">90-day outreach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Audience</w:t>
            </w:r>
          </w:p>
        </w:tc>
        <w:tc>
          <w:tcPr>
            <w:tcW w:type="dxa" w:w="20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Mechanism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2C2C2A"/>
                <w:sz w:val="16"/>
                <w:szCs w:val="16"/>
              </w:rPr>
              <w:t xml:space="preserve">Sell-side analysts</w:t>
            </w:r>
          </w:p>
        </w:tc>
        <w:tc>
          <w:tcPr>
            <w:tcW w:type="dxa" w:w="20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5 of 5 responsive</w:t>
            </w:r>
          </w:p>
        </w:tc>
        <w:tc>
          <w:tcPr>
            <w:tcW w:type="dxa" w:w="41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Model requests + direct 5th-analyst follow-up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2C2C2A"/>
                <w:sz w:val="16"/>
                <w:szCs w:val="16"/>
              </w:rPr>
              <w:t xml:space="preserve">Top-20 institutional</w:t>
            </w:r>
          </w:p>
        </w:tc>
        <w:tc>
          <w:tcPr>
            <w:tcW w:type="dxa" w:w="20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12+ callbacks held</w:t>
            </w:r>
          </w:p>
        </w:tc>
        <w:tc>
          <w:tcPr>
            <w:tcW w:type="dxa" w:w="41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Tiered post-earnings callback scheduling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2C2C2A"/>
                <w:sz w:val="16"/>
                <w:szCs w:val="16"/>
              </w:rPr>
              <w:t xml:space="preserve">NOBO / retail</w:t>
            </w:r>
          </w:p>
        </w:tc>
        <w:tc>
          <w:tcPr>
            <w:tcW w:type="dxa" w:w="20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List received</w:t>
            </w:r>
          </w:p>
        </w:tc>
        <w:tc>
          <w:tcPr>
            <w:tcW w:type="dxa" w:w="41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Transfer agent request — the gating item this quarter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2C2C2A"/>
                <w:sz w:val="16"/>
                <w:szCs w:val="16"/>
              </w:rPr>
              <w:t xml:space="preserve">New prospects (conference)</w:t>
            </w:r>
          </w:p>
        </w:tc>
        <w:tc>
          <w:tcPr>
            <w:tcW w:type="dxa" w:w="20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6"/>
                <w:szCs w:val="16"/>
              </w:rPr>
              <w:t xml:space="preserve">3+ new contacts</w:t>
            </w:r>
          </w:p>
        </w:tc>
        <w:tc>
          <w:tcPr>
            <w:tcW w:type="dxa" w:w="41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6"/>
                <w:szCs w:val="16"/>
              </w:rPr>
              <w:t xml:space="preserve">Roth NY meeting-list ingestion + website-ID cross-match</w:t>
            </w:r>
          </w:p>
        </w:tc>
      </w:tr>
    </w:tbl>
    <w:p>
      <w:pPr>
        <w:spacing w:before="180"/>
      </w:pPr>
    </w:p>
    <w:p>
      <w:pPr>
        <w:pBdr>
          <w:bottom w:val="single" w:color="D3D1C7" w:sz="4" w:space="3"/>
        </w:pBdr>
        <w:spacing w:after="100"/>
      </w:pPr>
    </w:p>
    <w:p>
      <w:r>
        <w:rPr>
          <w:i/>
          <w:iCs/>
          <w:color w:val="5F5E5A"/>
          <w:sz w:val="14"/>
          <w:szCs w:val="14"/>
        </w:rPr>
        <w:t xml:space="preserve">Living document — review and update weekly. Blocking items in red require action within the stated Phase 1 window to avoid delaying downstream Phase 3 work.</w:t>
      </w:r>
    </w:p>
    <w:sectPr>
      <w:headerReference w:type="default" r:id="rId7"/>
      <w:footerReference w:type="default" r:id="rId8"/>
      <w:pgSz w:w="12240" w:h="15840" w:orient="portrait"/>
      <w:pgMar w:top="900" w:right="1296" w:bottom="9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5E5A"/>
        <w:sz w:val="13"/>
        <w:szCs w:val="13"/>
      </w:rPr>
      <w:t xml:space="preserve">90-Day IR Execution Plan — Jun 19 to Sep 17, 2026</w:t>
    </w:r>
    <w:r>
      <w:rPr>
        <w:color w:val="5F5E5A"/>
        <w:sz w:val="13"/>
        <w:szCs w:val="13"/>
      </w:rPr>
      <w:t xml:space="preserve">Page </w:t>
    </w:r>
    <w:r>
      <w:rPr>
        <w:color w:val="5F5E5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026"/>
      </w:tabs>
    </w:pPr>
    <w:r>
      <w:rPr>
        <w:color w:val="5F5E5A"/>
        <w:sz w:val="13"/>
        <w:szCs w:val="13"/>
      </w:rPr>
      <w:t xml:space="preserve">Usio, Inc. — Investor Relations</w:t>
    </w:r>
    <w:r>
      <w:rPr>
        <w:color w:val="5F5E5A"/>
        <w:sz w:val="13"/>
        <w:szCs w:val="13"/>
      </w:rPr>
      <w:t xml:space="preserve">	90-Day IR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50"/>
      <w:outlineLvl w:val="0"/>
    </w:pPr>
    <w:rPr>
      <w:rFonts w:ascii="Arial" w:cs="Arial" w:eastAsia="Arial" w:hAnsi="Arial"/>
      <w:b/>
      <w:bCs/>
      <w:color w:val="534AB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2026-06-20T01:28:17.923Z</dcterms:created>
  <dcterms:modified xsi:type="dcterms:W3CDTF">2026-06-20T01:28:17.924Z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