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E2761"/>
          <w:sz w:val="56"/>
          <w:szCs w:val="56"/>
        </w:rPr>
        <w:t xml:space="preserve">USIO IR PLATFORM</w:t>
      </w:r>
    </w:p>
    <w:p>
      <w:pPr>
        <w:spacing w:after="80" w:before="120"/>
        <w:jc w:val="center"/>
      </w:pPr>
      <w:r>
        <w:rPr>
          <w:color w:val="36454F"/>
          <w:sz w:val="30"/>
          <w:szCs w:val="30"/>
        </w:rPr>
        <w:t xml:space="preserve">Live Demo Script — CFO Walkthrough</w:t>
      </w:r>
    </w:p>
    <w:p>
      <w:pPr>
        <w:spacing w:before="400"/>
        <w:jc w:val="center"/>
      </w:pPr>
      <w:r>
        <w:rPr>
          <w:color w:val="5B5B5B"/>
          <w:sz w:val="22"/>
          <w:szCs w:val="22"/>
        </w:rPr>
        <w:t xml:space="preserve">Prepared for: Wednesday CFO Demo</w:t>
      </w:r>
    </w:p>
    <w:p>
      <w:pPr>
        <w:spacing w:after="40"/>
        <w:jc w:val="center"/>
      </w:pPr>
      <w:r>
        <w:rPr>
          <w:color w:val="5B5B5B"/>
          <w:sz w:val="22"/>
          <w:szCs w:val="22"/>
        </w:rPr>
        <w:t xml:space="preserve">Prepared by: Robert Breza — Praxis Point Advisory</w:t>
      </w:r>
    </w:p>
    <w:p>
      <w:pPr>
        <w:jc w:val="center"/>
      </w:pPr>
      <w:r>
        <w:rPr>
          <w:color w:val="5B5B5B"/>
          <w:sz w:val="22"/>
          <w:szCs w:val="22"/>
        </w:rPr>
        <w:t xml:space="preserve">Target run time: 30–40 minutes</w:t>
      </w:r>
    </w:p>
    <w:p>
      <w:r>
        <w:br w:type="page"/>
      </w:r>
    </w:p>
    <w:p>
      <w:pPr>
        <w:pStyle w:val="Heading1"/>
        <w:spacing w:after="160" w:before="400"/>
      </w:pPr>
      <w:r>
        <w:rPr>
          <w:b/>
          <w:bCs/>
          <w:color w:val="1E2761"/>
          <w:sz w:val="30"/>
          <w:szCs w:val="30"/>
        </w:rPr>
        <w:t xml:space="preserve">How to Use This Script</w:t>
      </w:r>
    </w:p>
    <w:p>
      <w:pPr>
        <w:spacing w:after="100"/>
      </w:pPr>
      <w:r>
        <w:rPr>
          <w:i w:val="false"/>
          <w:iCs w:val="false"/>
          <w:color w:val="222222"/>
          <w:sz w:val="21"/>
          <w:szCs w:val="21"/>
        </w:rPr>
        <w:t xml:space="preserve">This is a narration script, not a script to read verbatim. Each section gives you: (1) the click path to follow, (2) a suggested talk track in quotes, and (3) a shaded "THE INTELLIGENCE" box — this is the part to lean on. The CFO has seen IR dashboards before; what he hasn't seen is a platform that explains its own math instead of just displaying a number. Every callout box below is the answer to "how did it come up with that?" before he has to ask.</w:t>
      </w:r>
    </w:p>
    <w:p>
      <w:pPr>
        <w:spacing w:after="100"/>
      </w:pPr>
      <w:r>
        <w:rPr>
          <w:i w:val="false"/>
          <w:iCs w:val="false"/>
          <w:color w:val="222222"/>
          <w:sz w:val="21"/>
          <w:szCs w:val="21"/>
        </w:rPr>
        <w:t xml:space="preserve">Before you start:</w:t>
      </w:r>
    </w:p>
    <w:p>
      <w:pPr>
        <w:pStyle w:val="ListParagraph"/>
        <w:numPr>
          <w:ilvl w:val="0"/>
          <w:numId w:val="2"/>
        </w:numPr>
        <w:spacing w:after="60"/>
      </w:pPr>
      <w:r>
        <w:rPr>
          <w:sz w:val="21"/>
          <w:szCs w:val="21"/>
        </w:rPr>
        <w:t xml:space="preserve">Restart the app fresh (start_app.bat) so the demo session isn't mid-edit from testing.</w:t>
      </w:r>
    </w:p>
    <w:p>
      <w:pPr>
        <w:pStyle w:val="ListParagraph"/>
        <w:numPr>
          <w:ilvl w:val="0"/>
          <w:numId w:val="2"/>
        </w:numPr>
        <w:spacing w:after="60"/>
      </w:pPr>
      <w:r>
        <w:rPr>
          <w:sz w:val="21"/>
          <w:szCs w:val="21"/>
        </w:rPr>
        <w:t xml:space="preserve">Have the Q2 2026 script workflow sitting at Stage 3 (CFO+CEO+CRO Review) — it's the richest single screen in the app and the one you'll spend the most time on.</w:t>
      </w:r>
    </w:p>
    <w:p>
      <w:pPr>
        <w:pStyle w:val="ListParagraph"/>
        <w:numPr>
          <w:ilvl w:val="0"/>
          <w:numId w:val="2"/>
        </w:numPr>
        <w:spacing w:after="60"/>
      </w:pPr>
      <w:r>
        <w:rPr>
          <w:sz w:val="21"/>
          <w:szCs w:val="21"/>
        </w:rPr>
        <w:t xml:space="preserve">Know your one-line answer to "is this live, or seeded demo data?" before you're asked: market data (yfinance) and SEC filings (EDGAR) are live; the Q1/Q2 2026 script content and meeting history are realistic seed data standing in for USIO's actual historicals, which get loaded once we're engaged.</w:t>
      </w:r>
    </w:p>
    <w:p>
      <w:pPr>
        <w:pBdr>
          <w:bottom w:val="single" w:color="D8D2C4" w:sz="6"/>
        </w:pBdr>
        <w:spacing w:after="200" w:before="100"/>
      </w:pPr>
    </w:p>
    <w:p>
      <w:pPr>
        <w:pStyle w:val="Heading1"/>
        <w:spacing w:after="160" w:before="400"/>
      </w:pPr>
      <w:r>
        <w:rPr>
          <w:b/>
          <w:bCs/>
          <w:color w:val="1E2761"/>
          <w:sz w:val="30"/>
          <w:szCs w:val="30"/>
        </w:rPr>
        <w:t xml:space="preserve">Demo Agenda (35 minutes)</w:t>
      </w:r>
    </w:p>
    <w:tbl>
      <w:tblPr>
        <w:tblW w:type="pct" w:w="100%"/>
        <w:tblBorders>
          <w:top w:val="single" w:color="C9BFA5" w:sz="4"/>
          <w:left w:val="single" w:color="C9BFA5" w:sz="4"/>
          <w:bottom w:val="single" w:color="C9BFA5" w:sz="4"/>
          <w:right w:val="single" w:color="C9BFA5" w:sz="4"/>
          <w:insideH w:val="single" w:color="E0DACB" w:sz="2"/>
          <w:insideV w:val="single" w:color="E0DACB" w:sz="2"/>
        </w:tblBorders>
      </w:tblPr>
      <w:tblGrid>
        <w:gridCol w:w="1500"/>
        <w:gridCol w:w="3000"/>
        <w:gridCol w:w="5000"/>
      </w:tblGrid>
      <w:tr>
        <w:tc>
          <w:tcPr>
            <w:tcW w:type="pct" w:w="33%"/>
            <w:shd w:fill="1E2761" w:val="clear"/>
            <w:tcMar>
              <w:top w:type="dxa" w:w="80"/>
              <w:left w:type="dxa" w:w="120"/>
              <w:bottom w:type="dxa" w:w="80"/>
              <w:right w:type="dxa" w:w="120"/>
            </w:tcMar>
          </w:tcPr>
          <w:p>
            <w:r>
              <w:rPr>
                <w:b/>
                <w:bCs/>
                <w:color w:val="FFFFFF"/>
                <w:sz w:val="20"/>
                <w:szCs w:val="20"/>
              </w:rPr>
              <w:t xml:space="preserve">Time</w:t>
            </w:r>
          </w:p>
        </w:tc>
        <w:tc>
          <w:tcPr>
            <w:tcW w:type="pct" w:w="33%"/>
            <w:shd w:fill="1E2761" w:val="clear"/>
            <w:tcMar>
              <w:top w:type="dxa" w:w="80"/>
              <w:left w:type="dxa" w:w="120"/>
              <w:bottom w:type="dxa" w:w="80"/>
              <w:right w:type="dxa" w:w="120"/>
            </w:tcMar>
          </w:tcPr>
          <w:p>
            <w:r>
              <w:rPr>
                <w:b/>
                <w:bCs/>
                <w:color w:val="FFFFFF"/>
                <w:sz w:val="20"/>
                <w:szCs w:val="20"/>
              </w:rPr>
              <w:t xml:space="preserve">Section</w:t>
            </w:r>
          </w:p>
        </w:tc>
        <w:tc>
          <w:tcPr>
            <w:tcW w:type="pct" w:w="33%"/>
            <w:shd w:fill="1E2761" w:val="clear"/>
            <w:tcMar>
              <w:top w:type="dxa" w:w="80"/>
              <w:left w:type="dxa" w:w="120"/>
              <w:bottom w:type="dxa" w:w="80"/>
              <w:right w:type="dxa" w:w="120"/>
            </w:tcMar>
          </w:tcPr>
          <w:p>
            <w:r>
              <w:rPr>
                <w:b/>
                <w:bCs/>
                <w:color w:val="FFFFFF"/>
                <w:sz w:val="20"/>
                <w:szCs w:val="20"/>
              </w:rPr>
              <w:t xml:space="preserve">Focus</w:t>
            </w:r>
          </w:p>
        </w:tc>
      </w:tr>
      <w:tr>
        <w:tc>
          <w:tcPr>
            <w:tcW w:type="pct" w:w="33%"/>
            <w:tcMar>
              <w:top w:type="dxa" w:w="80"/>
              <w:left w:type="dxa" w:w="120"/>
              <w:bottom w:type="dxa" w:w="80"/>
              <w:right w:type="dxa" w:w="120"/>
            </w:tcMar>
          </w:tcPr>
          <w:p>
            <w:r>
              <w:rPr>
                <w:b/>
                <w:bCs/>
                <w:color w:val="222222"/>
                <w:sz w:val="20"/>
                <w:szCs w:val="20"/>
              </w:rPr>
              <w:t xml:space="preserve">2 min</w:t>
            </w:r>
          </w:p>
        </w:tc>
        <w:tc>
          <w:tcPr>
            <w:tcW w:type="pct" w:w="33%"/>
            <w:tcMar>
              <w:top w:type="dxa" w:w="80"/>
              <w:left w:type="dxa" w:w="120"/>
              <w:bottom w:type="dxa" w:w="80"/>
              <w:right w:type="dxa" w:w="120"/>
            </w:tcMar>
          </w:tcPr>
          <w:p>
            <w:r>
              <w:rPr>
                <w:b/>
                <w:bCs/>
                <w:color w:val="222222"/>
                <w:sz w:val="20"/>
                <w:szCs w:val="20"/>
              </w:rPr>
              <w:t xml:space="preserve">Framing</w:t>
            </w:r>
          </w:p>
        </w:tc>
        <w:tc>
          <w:tcPr>
            <w:tcW w:type="pct" w:w="33%"/>
            <w:tcMar>
              <w:top w:type="dxa" w:w="80"/>
              <w:left w:type="dxa" w:w="120"/>
              <w:bottom w:type="dxa" w:w="80"/>
              <w:right w:type="dxa" w:w="120"/>
            </w:tcMar>
          </w:tcPr>
          <w:p>
            <w:r>
              <w:rPr>
                <w:b w:val="false"/>
                <w:bCs w:val="false"/>
                <w:color w:val="222222"/>
                <w:sz w:val="20"/>
                <w:szCs w:val="20"/>
              </w:rPr>
              <w:t xml:space="preserve">What problem this solves, in one breath</w:t>
            </w:r>
          </w:p>
        </w:tc>
      </w:tr>
      <w:tr>
        <w:tc>
          <w:tcPr>
            <w:tcW w:type="pct" w:w="33%"/>
            <w:tcMar>
              <w:top w:type="dxa" w:w="80"/>
              <w:left w:type="dxa" w:w="120"/>
              <w:bottom w:type="dxa" w:w="80"/>
              <w:right w:type="dxa" w:w="120"/>
            </w:tcMar>
          </w:tcPr>
          <w:p>
            <w:r>
              <w:rPr>
                <w:b/>
                <w:bCs/>
                <w:color w:val="222222"/>
                <w:sz w:val="20"/>
                <w:szCs w:val="20"/>
              </w:rPr>
              <w:t xml:space="preserve">3 min</w:t>
            </w:r>
          </w:p>
        </w:tc>
        <w:tc>
          <w:tcPr>
            <w:tcW w:type="pct" w:w="33%"/>
            <w:tcMar>
              <w:top w:type="dxa" w:w="80"/>
              <w:left w:type="dxa" w:w="120"/>
              <w:bottom w:type="dxa" w:w="80"/>
              <w:right w:type="dxa" w:w="120"/>
            </w:tcMar>
          </w:tcPr>
          <w:p>
            <w:r>
              <w:rPr>
                <w:b/>
                <w:bCs/>
                <w:color w:val="222222"/>
                <w:sz w:val="20"/>
                <w:szCs w:val="20"/>
              </w:rPr>
              <w:t xml:space="preserve">Today</w:t>
            </w:r>
          </w:p>
        </w:tc>
        <w:tc>
          <w:tcPr>
            <w:tcW w:type="pct" w:w="33%"/>
            <w:tcMar>
              <w:top w:type="dxa" w:w="80"/>
              <w:left w:type="dxa" w:w="120"/>
              <w:bottom w:type="dxa" w:w="80"/>
              <w:right w:type="dxa" w:w="120"/>
            </w:tcMar>
          </w:tcPr>
          <w:p>
            <w:r>
              <w:rPr>
                <w:b w:val="false"/>
                <w:bCs w:val="false"/>
                <w:color w:val="222222"/>
                <w:sz w:val="20"/>
                <w:szCs w:val="20"/>
              </w:rPr>
              <w:t xml:space="preserve">The morning brief — everything that needs attention, ranked</w:t>
            </w:r>
          </w:p>
        </w:tc>
      </w:tr>
      <w:tr>
        <w:tc>
          <w:tcPr>
            <w:tcW w:type="pct" w:w="33%"/>
            <w:tcMar>
              <w:top w:type="dxa" w:w="80"/>
              <w:left w:type="dxa" w:w="120"/>
              <w:bottom w:type="dxa" w:w="80"/>
              <w:right w:type="dxa" w:w="120"/>
            </w:tcMar>
          </w:tcPr>
          <w:p>
            <w:r>
              <w:rPr>
                <w:b/>
                <w:bCs/>
                <w:color w:val="222222"/>
                <w:sz w:val="20"/>
                <w:szCs w:val="20"/>
              </w:rPr>
              <w:t xml:space="preserve">8 min</w:t>
            </w:r>
          </w:p>
        </w:tc>
        <w:tc>
          <w:tcPr>
            <w:tcW w:type="pct" w:w="33%"/>
            <w:tcMar>
              <w:top w:type="dxa" w:w="80"/>
              <w:left w:type="dxa" w:w="120"/>
              <w:bottom w:type="dxa" w:w="80"/>
              <w:right w:type="dxa" w:w="120"/>
            </w:tcMar>
          </w:tcPr>
          <w:p>
            <w:r>
              <w:rPr>
                <w:b/>
                <w:bCs/>
                <w:color w:val="222222"/>
                <w:sz w:val="20"/>
                <w:szCs w:val="20"/>
              </w:rPr>
              <w:t xml:space="preserve">Investor Targeting</w:t>
            </w:r>
          </w:p>
        </w:tc>
        <w:tc>
          <w:tcPr>
            <w:tcW w:type="pct" w:w="33%"/>
            <w:tcMar>
              <w:top w:type="dxa" w:w="80"/>
              <w:left w:type="dxa" w:w="120"/>
              <w:bottom w:type="dxa" w:w="80"/>
              <w:right w:type="dxa" w:w="120"/>
            </w:tcMar>
          </w:tcPr>
          <w:p>
            <w:r>
              <w:rPr>
                <w:b w:val="false"/>
                <w:bCs w:val="false"/>
                <w:color w:val="222222"/>
                <w:sz w:val="20"/>
                <w:szCs w:val="20"/>
              </w:rPr>
              <w:t xml:space="preserve">Buy-side scoring, NDR planner, Fit Score prospecting</w:t>
            </w:r>
          </w:p>
        </w:tc>
      </w:tr>
      <w:tr>
        <w:tc>
          <w:tcPr>
            <w:tcW w:type="pct" w:w="33%"/>
            <w:tcMar>
              <w:top w:type="dxa" w:w="80"/>
              <w:left w:type="dxa" w:w="120"/>
              <w:bottom w:type="dxa" w:w="80"/>
              <w:right w:type="dxa" w:w="120"/>
            </w:tcMar>
          </w:tcPr>
          <w:p>
            <w:r>
              <w:rPr>
                <w:b/>
                <w:bCs/>
                <w:color w:val="222222"/>
                <w:sz w:val="20"/>
                <w:szCs w:val="20"/>
              </w:rPr>
              <w:t xml:space="preserve">6 min</w:t>
            </w:r>
          </w:p>
        </w:tc>
        <w:tc>
          <w:tcPr>
            <w:tcW w:type="pct" w:w="33%"/>
            <w:tcMar>
              <w:top w:type="dxa" w:w="80"/>
              <w:left w:type="dxa" w:w="120"/>
              <w:bottom w:type="dxa" w:w="80"/>
              <w:right w:type="dxa" w:w="120"/>
            </w:tcMar>
          </w:tcPr>
          <w:p>
            <w:r>
              <w:rPr>
                <w:b/>
                <w:bCs/>
                <w:color w:val="222222"/>
                <w:sz w:val="20"/>
                <w:szCs w:val="20"/>
              </w:rPr>
              <w:t xml:space="preserve">Market Intelligence</w:t>
            </w:r>
          </w:p>
        </w:tc>
        <w:tc>
          <w:tcPr>
            <w:tcW w:type="pct" w:w="33%"/>
            <w:tcMar>
              <w:top w:type="dxa" w:w="80"/>
              <w:left w:type="dxa" w:w="120"/>
              <w:bottom w:type="dxa" w:w="80"/>
              <w:right w:type="dxa" w:w="120"/>
            </w:tcMar>
          </w:tcPr>
          <w:p>
            <w:r>
              <w:rPr>
                <w:b w:val="false"/>
                <w:bCs w:val="false"/>
                <w:color w:val="222222"/>
                <w:sz w:val="20"/>
                <w:szCs w:val="20"/>
              </w:rPr>
              <w:t xml:space="preserve">24-indicator risk dashboard, consensus, PT drift</w:t>
            </w:r>
          </w:p>
        </w:tc>
      </w:tr>
      <w:tr>
        <w:tc>
          <w:tcPr>
            <w:tcW w:type="pct" w:w="33%"/>
            <w:tcMar>
              <w:top w:type="dxa" w:w="80"/>
              <w:left w:type="dxa" w:w="120"/>
              <w:bottom w:type="dxa" w:w="80"/>
              <w:right w:type="dxa" w:w="120"/>
            </w:tcMar>
          </w:tcPr>
          <w:p>
            <w:r>
              <w:rPr>
                <w:b/>
                <w:bCs/>
                <w:color w:val="222222"/>
                <w:sz w:val="20"/>
                <w:szCs w:val="20"/>
              </w:rPr>
              <w:t xml:space="preserve">10 min</w:t>
            </w:r>
          </w:p>
        </w:tc>
        <w:tc>
          <w:tcPr>
            <w:tcW w:type="pct" w:w="33%"/>
            <w:tcMar>
              <w:top w:type="dxa" w:w="80"/>
              <w:left w:type="dxa" w:w="120"/>
              <w:bottom w:type="dxa" w:w="80"/>
              <w:right w:type="dxa" w:w="120"/>
            </w:tcMar>
          </w:tcPr>
          <w:p>
            <w:r>
              <w:rPr>
                <w:b/>
                <w:bCs/>
                <w:color w:val="222222"/>
                <w:sz w:val="20"/>
                <w:szCs w:val="20"/>
              </w:rPr>
              <w:t xml:space="preserve">Earnings Cycle</w:t>
            </w:r>
          </w:p>
        </w:tc>
        <w:tc>
          <w:tcPr>
            <w:tcW w:type="pct" w:w="33%"/>
            <w:tcMar>
              <w:top w:type="dxa" w:w="80"/>
              <w:left w:type="dxa" w:w="120"/>
              <w:bottom w:type="dxa" w:w="80"/>
              <w:right w:type="dxa" w:w="120"/>
            </w:tcMar>
          </w:tcPr>
          <w:p>
            <w:r>
              <w:rPr>
                <w:b w:val="false"/>
                <w:bCs w:val="false"/>
                <w:color w:val="222222"/>
                <w:sz w:val="20"/>
                <w:szCs w:val="20"/>
              </w:rPr>
              <w:t xml:space="preserve">The flagship — 5-stage script workflow + Guidance Engine</w:t>
            </w:r>
          </w:p>
        </w:tc>
      </w:tr>
      <w:tr>
        <w:tc>
          <w:tcPr>
            <w:tcW w:type="pct" w:w="33%"/>
            <w:tcMar>
              <w:top w:type="dxa" w:w="80"/>
              <w:left w:type="dxa" w:w="120"/>
              <w:bottom w:type="dxa" w:w="80"/>
              <w:right w:type="dxa" w:w="120"/>
            </w:tcMar>
          </w:tcPr>
          <w:p>
            <w:r>
              <w:rPr>
                <w:b/>
                <w:bCs/>
                <w:color w:val="222222"/>
                <w:sz w:val="20"/>
                <w:szCs w:val="20"/>
              </w:rPr>
              <w:t xml:space="preserve">3 min</w:t>
            </w:r>
          </w:p>
        </w:tc>
        <w:tc>
          <w:tcPr>
            <w:tcW w:type="pct" w:w="33%"/>
            <w:tcMar>
              <w:top w:type="dxa" w:w="80"/>
              <w:left w:type="dxa" w:w="120"/>
              <w:bottom w:type="dxa" w:w="80"/>
              <w:right w:type="dxa" w:w="120"/>
            </w:tcMar>
          </w:tcPr>
          <w:p>
            <w:r>
              <w:rPr>
                <w:b/>
                <w:bCs/>
                <w:color w:val="222222"/>
                <w:sz w:val="20"/>
                <w:szCs w:val="20"/>
              </w:rPr>
              <w:t xml:space="preserve">Outreach</w:t>
            </w:r>
          </w:p>
        </w:tc>
        <w:tc>
          <w:tcPr>
            <w:tcW w:type="pct" w:w="33%"/>
            <w:tcMar>
              <w:top w:type="dxa" w:w="80"/>
              <w:left w:type="dxa" w:w="120"/>
              <w:bottom w:type="dxa" w:w="80"/>
              <w:right w:type="dxa" w:w="120"/>
            </w:tcMar>
          </w:tcPr>
          <w:p>
            <w:r>
              <w:rPr>
                <w:b w:val="false"/>
                <w:bCs w:val="false"/>
                <w:color w:val="222222"/>
                <w:sz w:val="20"/>
                <w:szCs w:val="20"/>
              </w:rPr>
              <w:t xml:space="preserve">AI-classified inbox, model routing</w:t>
            </w:r>
          </w:p>
        </w:tc>
      </w:tr>
      <w:tr>
        <w:tc>
          <w:tcPr>
            <w:tcW w:type="pct" w:w="33%"/>
            <w:tcMar>
              <w:top w:type="dxa" w:w="80"/>
              <w:left w:type="dxa" w:w="120"/>
              <w:bottom w:type="dxa" w:w="80"/>
              <w:right w:type="dxa" w:w="120"/>
            </w:tcMar>
          </w:tcPr>
          <w:p>
            <w:r>
              <w:rPr>
                <w:b/>
                <w:bCs/>
                <w:color w:val="222222"/>
                <w:sz w:val="20"/>
                <w:szCs w:val="20"/>
              </w:rPr>
              <w:t xml:space="preserve">2 min</w:t>
            </w:r>
          </w:p>
        </w:tc>
        <w:tc>
          <w:tcPr>
            <w:tcW w:type="pct" w:w="33%"/>
            <w:tcMar>
              <w:top w:type="dxa" w:w="80"/>
              <w:left w:type="dxa" w:w="120"/>
              <w:bottom w:type="dxa" w:w="80"/>
              <w:right w:type="dxa" w:w="120"/>
            </w:tcMar>
          </w:tcPr>
          <w:p>
            <w:r>
              <w:rPr>
                <w:b/>
                <w:bCs/>
                <w:color w:val="222222"/>
                <w:sz w:val="20"/>
                <w:szCs w:val="20"/>
              </w:rPr>
              <w:t xml:space="preserve">Reports</w:t>
            </w:r>
          </w:p>
        </w:tc>
        <w:tc>
          <w:tcPr>
            <w:tcW w:type="pct" w:w="33%"/>
            <w:tcMar>
              <w:top w:type="dxa" w:w="80"/>
              <w:left w:type="dxa" w:w="120"/>
              <w:bottom w:type="dxa" w:w="80"/>
              <w:right w:type="dxa" w:w="120"/>
            </w:tcMar>
          </w:tcPr>
          <w:p>
            <w:r>
              <w:rPr>
                <w:b w:val="false"/>
                <w:bCs w:val="false"/>
                <w:color w:val="222222"/>
                <w:sz w:val="20"/>
                <w:szCs w:val="20"/>
              </w:rPr>
              <w:t xml:space="preserve">Automation Tracker — the ROI proof point</w:t>
            </w:r>
          </w:p>
        </w:tc>
      </w:tr>
      <w:tr>
        <w:tc>
          <w:tcPr>
            <w:tcW w:type="pct" w:w="33%"/>
            <w:tcMar>
              <w:top w:type="dxa" w:w="80"/>
              <w:left w:type="dxa" w:w="120"/>
              <w:bottom w:type="dxa" w:w="80"/>
              <w:right w:type="dxa" w:w="120"/>
            </w:tcMar>
          </w:tcPr>
          <w:p>
            <w:r>
              <w:rPr>
                <w:b/>
                <w:bCs/>
                <w:color w:val="222222"/>
                <w:sz w:val="20"/>
                <w:szCs w:val="20"/>
              </w:rPr>
              <w:t xml:space="preserve">1 min</w:t>
            </w:r>
          </w:p>
        </w:tc>
        <w:tc>
          <w:tcPr>
            <w:tcW w:type="pct" w:w="33%"/>
            <w:tcMar>
              <w:top w:type="dxa" w:w="80"/>
              <w:left w:type="dxa" w:w="120"/>
              <w:bottom w:type="dxa" w:w="80"/>
              <w:right w:type="dxa" w:w="120"/>
            </w:tcMar>
          </w:tcPr>
          <w:p>
            <w:r>
              <w:rPr>
                <w:b/>
                <w:bCs/>
                <w:color w:val="222222"/>
                <w:sz w:val="20"/>
                <w:szCs w:val="20"/>
              </w:rPr>
              <w:t xml:space="preserve">Close</w:t>
            </w:r>
          </w:p>
        </w:tc>
        <w:tc>
          <w:tcPr>
            <w:tcW w:type="pct" w:w="33%"/>
            <w:tcMar>
              <w:top w:type="dxa" w:w="80"/>
              <w:left w:type="dxa" w:w="120"/>
              <w:bottom w:type="dxa" w:w="80"/>
              <w:right w:type="dxa" w:w="120"/>
            </w:tcMar>
          </w:tcPr>
          <w:p>
            <w:r>
              <w:rPr>
                <w:b w:val="false"/>
                <w:bCs w:val="false"/>
                <w:color w:val="222222"/>
                <w:sz w:val="20"/>
                <w:szCs w:val="20"/>
              </w:rPr>
              <w:t xml:space="preserve">What's next / engagement ask</w:t>
            </w:r>
          </w:p>
        </w:tc>
      </w:tr>
    </w:tbl>
    <w:p>
      <w:pPr>
        <w:spacing w:after="120"/>
      </w:pPr>
    </w:p>
    <w:p>
      <w:pPr>
        <w:pStyle w:val="Heading1"/>
        <w:spacing w:after="160" w:before="400"/>
      </w:pPr>
      <w:r>
        <w:rPr>
          <w:b/>
          <w:bCs/>
          <w:color w:val="1E2761"/>
          <w:sz w:val="30"/>
          <w:szCs w:val="30"/>
        </w:rPr>
        <w:t xml:space="preserve">Opening — 60-Second Framing</w:t>
      </w:r>
    </w:p>
    <w:p>
      <w:pPr>
        <w:spacing w:after="100"/>
      </w:pPr>
      <w:r>
        <w:rPr>
          <w:b/>
          <w:bCs/>
          <w:i/>
          <w:iCs/>
          <w:color w:val="36454F"/>
          <w:sz w:val="21"/>
          <w:szCs w:val="21"/>
        </w:rPr>
        <w:t xml:space="preserve">Say: </w:t>
      </w:r>
      <w:r>
        <w:rPr>
          <w:i/>
          <w:iCs/>
          <w:color w:val="222222"/>
          <w:sz w:val="21"/>
          <w:szCs w:val="21"/>
        </w:rPr>
        <w:t xml:space="preserve">"This isn't a dashboard that shows you numbers you already have. It's a working system that sits underneath the entire IR calendar — every quarter's earnings script, every buy-side meeting, every analyst email — and does two things most tools don't: it computes things instead of asking a human to guess, and when it doesn't have real data for something, it tells you that instead of making it up."</w:t>
      </w:r>
    </w:p>
    <w:p>
      <w:pPr>
        <w:spacing w:after="100"/>
      </w:pPr>
      <w:r>
        <w:rPr>
          <w:i w:val="false"/>
          <w:iCs w:val="false"/>
          <w:color w:val="222222"/>
          <w:sz w:val="21"/>
          <w:szCs w:val="21"/>
        </w:rPr>
        <w:t xml:space="preserve">Then move straight into Today — don't linger on the pitch.</w:t>
      </w:r>
    </w:p>
    <w:p>
      <w:pPr>
        <w:pBdr>
          <w:bottom w:val="single" w:color="D8D2C4" w:sz="6"/>
        </w:pBdr>
        <w:spacing w:after="200" w:before="100"/>
      </w:pPr>
    </w:p>
    <w:p>
      <w:pPr>
        <w:pStyle w:val="Heading1"/>
        <w:spacing w:after="160" w:before="400"/>
      </w:pPr>
      <w:r>
        <w:rPr>
          <w:b/>
          <w:bCs/>
          <w:color w:val="1E2761"/>
          <w:sz w:val="30"/>
          <w:szCs w:val="30"/>
        </w:rPr>
        <w:t xml:space="preserve">1. Today — The Morning Brief</w:t>
      </w:r>
    </w:p>
    <w:p>
      <w:pPr>
        <w:spacing w:after="80" w:before="180"/>
      </w:pPr>
      <w:r>
        <w:rPr>
          <w:b/>
          <w:bCs/>
          <w:color w:val="36454F"/>
          <w:sz w:val="21"/>
          <w:szCs w:val="21"/>
        </w:rPr>
        <w:t xml:space="preserve">What you click</w:t>
      </w:r>
    </w:p>
    <w:p>
      <w:pPr>
        <w:pStyle w:val="ListParagraph"/>
        <w:numPr>
          <w:ilvl w:val="0"/>
          <w:numId w:val="3"/>
        </w:numPr>
        <w:spacing w:after="60"/>
      </w:pPr>
      <w:r>
        <w:rPr>
          <w:sz w:val="21"/>
          <w:szCs w:val="21"/>
        </w:rPr>
        <w:t xml:space="preserve">Land on Today (it's the default page).</w:t>
      </w:r>
    </w:p>
    <w:p>
      <w:pPr>
        <w:pStyle w:val="ListParagraph"/>
        <w:numPr>
          <w:ilvl w:val="0"/>
          <w:numId w:val="3"/>
        </w:numPr>
        <w:spacing w:after="60"/>
      </w:pPr>
      <w:r>
        <w:rPr>
          <w:sz w:val="21"/>
          <w:szCs w:val="21"/>
        </w:rPr>
        <w:t xml:space="preserve">Point to the ROI strip at the top.</w:t>
      </w:r>
    </w:p>
    <w:p>
      <w:pPr>
        <w:pStyle w:val="ListParagraph"/>
        <w:numPr>
          <w:ilvl w:val="0"/>
          <w:numId w:val="3"/>
        </w:numPr>
        <w:spacing w:after="60"/>
      </w:pPr>
      <w:r>
        <w:rPr>
          <w:sz w:val="21"/>
          <w:szCs w:val="21"/>
        </w:rPr>
        <w:t xml:space="preserve">Scroll to the Investor Pipeline widget and Risk Signal cards.</w:t>
      </w:r>
    </w:p>
    <w:p>
      <w:pPr>
        <w:spacing w:after="80" w:before="180"/>
      </w:pPr>
      <w:r>
        <w:rPr>
          <w:b/>
          <w:bCs/>
          <w:color w:val="36454F"/>
          <w:sz w:val="21"/>
          <w:szCs w:val="21"/>
        </w:rPr>
        <w:t xml:space="preserve">What you say</w:t>
      </w:r>
    </w:p>
    <w:p>
      <w:pPr>
        <w:spacing w:after="100"/>
      </w:pPr>
      <w:r>
        <w:rPr>
          <w:b/>
          <w:bCs/>
          <w:i/>
          <w:iCs/>
          <w:color w:val="36454F"/>
          <w:sz w:val="21"/>
          <w:szCs w:val="21"/>
        </w:rPr>
        <w:t xml:space="preserve">Say: </w:t>
      </w:r>
      <w:r>
        <w:rPr>
          <w:i/>
          <w:iCs/>
          <w:color w:val="222222"/>
          <w:sz w:val="21"/>
          <w:szCs w:val="21"/>
        </w:rPr>
        <w:t xml:space="preserve">"This is what the Head of IR opens first every morning. It's not a static homepage — every number on it is pulled live from what actually happened across the rest of the platform yesterday."</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w:t>
            </w:r>
          </w:p>
          <w:p>
            <w:pPr>
              <w:spacing w:after="40"/>
            </w:pPr>
            <w:r>
              <w:rPr>
                <w:color w:val="222222"/>
                <w:sz w:val="20"/>
                <w:szCs w:val="20"/>
              </w:rPr>
              <w:t xml:space="preserve">•  The ROI strip isn't decorative — it's computed from the activity log every action anywhere in the app writes to. Every model resolved, every email sent, every meeting logged rolls up into this number automatically.</w:t>
            </w:r>
          </w:p>
          <w:p>
            <w:pPr>
              <w:spacing w:after="40"/>
            </w:pPr>
            <w:r>
              <w:rPr>
                <w:color w:val="222222"/>
                <w:sz w:val="20"/>
                <w:szCs w:val="20"/>
              </w:rPr>
              <w:t xml:space="preserve">•  The Investor Pipeline widget and Investor Targeting's buy-side list are the same scoring engine, reading the same table — no more "the two pages show different numbers for the same fund," which is where most IR trackers quietly fall apart.</w:t>
            </w:r>
          </w:p>
          <w:p>
            <w:pPr>
              <w:spacing w:after="40"/>
            </w:pPr>
            <w:r>
              <w:rPr>
                <w:color w:val="222222"/>
                <w:sz w:val="20"/>
                <w:szCs w:val="20"/>
              </w:rPr>
              <w:t xml:space="preserve">•  Risk Signal cards can be muted (1/3/7/30 days) instead of dismissed — so a signal you've already actioned doesn't keep nagging, but it isn't silently deleted either.</w:t>
            </w:r>
          </w:p>
        </w:tc>
      </w:tr>
    </w:tbl>
    <w:p>
      <w:pPr>
        <w:pBdr>
          <w:bottom w:val="single" w:color="D8D2C4" w:sz="6"/>
        </w:pBdr>
        <w:spacing w:after="200" w:before="100"/>
      </w:pPr>
    </w:p>
    <w:p>
      <w:pPr>
        <w:pStyle w:val="Heading1"/>
        <w:spacing w:after="160" w:before="400"/>
      </w:pPr>
      <w:r>
        <w:rPr>
          <w:b/>
          <w:bCs/>
          <w:color w:val="1E2761"/>
          <w:sz w:val="30"/>
          <w:szCs w:val="30"/>
        </w:rPr>
        <w:t xml:space="preserve">2. Investor Targeting — Pipeline, NDR &amp; Meetings</w:t>
      </w:r>
    </w:p>
    <w:p>
      <w:pPr>
        <w:spacing w:after="80" w:before="180"/>
      </w:pPr>
      <w:r>
        <w:rPr>
          <w:b/>
          <w:bCs/>
          <w:color w:val="36454F"/>
          <w:sz w:val="21"/>
          <w:szCs w:val="21"/>
        </w:rPr>
        <w:t xml:space="preserve">2a. Buy-Side Intelligence tab</w:t>
      </w:r>
    </w:p>
    <w:p>
      <w:pPr>
        <w:spacing w:after="100"/>
      </w:pPr>
      <w:r>
        <w:rPr>
          <w:i w:val="false"/>
          <w:iCs w:val="false"/>
          <w:color w:val="222222"/>
          <w:sz w:val="21"/>
          <w:szCs w:val="21"/>
        </w:rPr>
        <w:t xml:space="preserve">Open the Investor Targeting page and stay on the default Buy-Side Intelligence tab.</w:t>
      </w:r>
    </w:p>
    <w:p>
      <w:pPr>
        <w:spacing w:after="100"/>
      </w:pPr>
      <w:r>
        <w:rPr>
          <w:b/>
          <w:bCs/>
          <w:i/>
          <w:iCs/>
          <w:color w:val="36454F"/>
          <w:sz w:val="21"/>
          <w:szCs w:val="21"/>
        </w:rPr>
        <w:t xml:space="preserve">Say: </w:t>
      </w:r>
      <w:r>
        <w:rPr>
          <w:i/>
          <w:iCs/>
          <w:color w:val="222222"/>
          <w:sz w:val="21"/>
          <w:szCs w:val="21"/>
        </w:rPr>
        <w:t xml:space="preserve">"Every institution here has a real Engagement Score out of 100 — not a gut-feel 'hot lead' label."</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Engagement Score</w:t>
            </w:r>
          </w:p>
          <w:p>
            <w:pPr>
              <w:spacing w:after="40"/>
            </w:pPr>
            <w:r>
              <w:rPr>
                <w:color w:val="222222"/>
                <w:sz w:val="20"/>
                <w:szCs w:val="20"/>
              </w:rPr>
              <w:t xml:space="preserve">•  100 points across four pillars: Earnings Call Listener, Peer Ownership, IR Site Visits, and Meeting Interactions.</w:t>
            </w:r>
          </w:p>
          <w:p>
            <w:pPr>
              <w:spacing w:after="40"/>
            </w:pPr>
            <w:r>
              <w:rPr>
                <w:color w:val="222222"/>
                <w:sz w:val="20"/>
                <w:szCs w:val="20"/>
              </w:rPr>
              <w:t xml:space="preserve">•  Meeting Interactions (0-25 pts) is the only pillar driven purely by what a person logs — so emailing a contact or logging a meeting outcome is a real, score-moving action, not a no-op checkbox.</w:t>
            </w:r>
          </w:p>
          <w:p>
            <w:pPr>
              <w:spacing w:after="40"/>
            </w:pPr>
            <w:r>
              <w:rPr>
                <w:color w:val="222222"/>
                <w:sz w:val="20"/>
                <w:szCs w:val="20"/>
              </w:rPr>
              <w:t xml:space="preserve">•  One scoring engine, one interaction ledger, shared by this page and the Today widget — log an interaction anywhere, it updates everywhere.</w:t>
            </w:r>
          </w:p>
        </w:tc>
      </w:tr>
    </w:tbl>
    <w:p>
      <w:pPr>
        <w:spacing w:after="80" w:before="180"/>
      </w:pPr>
      <w:r>
        <w:rPr>
          <w:b/>
          <w:bCs/>
          <w:color w:val="36454F"/>
          <w:sz w:val="21"/>
          <w:szCs w:val="21"/>
        </w:rPr>
        <w:t xml:space="preserve">2b. NDR Planner</w:t>
      </w:r>
    </w:p>
    <w:p>
      <w:pPr>
        <w:spacing w:after="100"/>
      </w:pPr>
      <w:r>
        <w:rPr>
          <w:i w:val="false"/>
          <w:iCs w:val="false"/>
          <w:color w:val="222222"/>
          <w:sz w:val="21"/>
          <w:szCs w:val="21"/>
        </w:rPr>
        <w:t xml:space="preserve">Click into the NDR Planner sub-tab. Show Plan New NDR briefly, then Prep Cards and Post-NDR Debrief if there's an active trip loaded.</w:t>
      </w:r>
    </w:p>
    <w:p>
      <w:pPr>
        <w:spacing w:after="100"/>
      </w:pPr>
      <w:r>
        <w:rPr>
          <w:b/>
          <w:bCs/>
          <w:i/>
          <w:iCs/>
          <w:color w:val="36454F"/>
          <w:sz w:val="21"/>
          <w:szCs w:val="21"/>
        </w:rPr>
        <w:t xml:space="preserve">Say: </w:t>
      </w:r>
      <w:r>
        <w:rPr>
          <w:i/>
          <w:iCs/>
          <w:color w:val="222222"/>
          <w:sz w:val="21"/>
          <w:szCs w:val="21"/>
        </w:rPr>
        <w:t xml:space="preserve">"This runs the entire non-deal roadshow lifecycle — plan the trip, get day-by-day prep cards with real talking points per institution, then close the loop with a debrief that feeds straight back into risk tracking."</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Closed-Loop Debrief</w:t>
            </w:r>
          </w:p>
          <w:p>
            <w:pPr>
              <w:spacing w:after="40"/>
            </w:pPr>
            <w:r>
              <w:rPr>
                <w:color w:val="222222"/>
                <w:sz w:val="20"/>
                <w:szCs w:val="20"/>
              </w:rPr>
              <w:t xml:space="preserve">•  Objections and narrative gaps logged in a Post-NDR Debrief flow directly into the Market Intelligence IR Risk Dashboard's "Investor Objection Trend" and "KPI Understanding" indicators — a real buy-side conversation changes what the risk dashboard shows, automatically.</w:t>
            </w:r>
          </w:p>
          <w:p>
            <w:pPr>
              <w:spacing w:after="40"/>
            </w:pPr>
            <w:r>
              <w:rPr>
                <w:color w:val="222222"/>
                <w:sz w:val="20"/>
                <w:szCs w:val="20"/>
              </w:rPr>
              <w:t xml:space="preserve">•  Prep Cards pull each institution's real score, days-since-last-contact, and notes — not a generic meeting template.</w:t>
            </w:r>
          </w:p>
        </w:tc>
      </w:tr>
    </w:tbl>
    <w:p>
      <w:pPr>
        <w:spacing w:after="80" w:before="180"/>
      </w:pPr>
      <w:r>
        <w:rPr>
          <w:b/>
          <w:bCs/>
          <w:color w:val="36454F"/>
          <w:sz w:val="21"/>
          <w:szCs w:val="21"/>
        </w:rPr>
        <w:t xml:space="preserve">2c. Target Database — Fit Score</w:t>
      </w:r>
    </w:p>
    <w:p>
      <w:pPr>
        <w:spacing w:after="100"/>
      </w:pPr>
      <w:r>
        <w:rPr>
          <w:i w:val="false"/>
          <w:iCs w:val="false"/>
          <w:color w:val="222222"/>
          <w:sz w:val="21"/>
          <w:szCs w:val="21"/>
        </w:rPr>
        <w:t xml:space="preserve">Switch to the Target Database tab. Point out the P1–P5 tier badges and the Fit Score breakdown on a prospect card.</w:t>
      </w:r>
    </w:p>
    <w:p>
      <w:pPr>
        <w:spacing w:after="100"/>
      </w:pPr>
      <w:r>
        <w:rPr>
          <w:b/>
          <w:bCs/>
          <w:i/>
          <w:iCs/>
          <w:color w:val="36454F"/>
          <w:sz w:val="21"/>
          <w:szCs w:val="21"/>
        </w:rPr>
        <w:t xml:space="preserve">Say: </w:t>
      </w:r>
      <w:r>
        <w:rPr>
          <w:i/>
          <w:iCs/>
          <w:color w:val="222222"/>
          <w:sz w:val="21"/>
          <w:szCs w:val="21"/>
        </w:rPr>
        <w:t xml:space="preserve">"This is where new institutional prospects get found and ranked automatically, using real 13F ownership data pulled from SEC EDGAR — not a purchased list."</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Fit Score (the deepest engine in the platform)</w:t>
            </w:r>
          </w:p>
          <w:p>
            <w:pPr>
              <w:spacing w:after="40"/>
            </w:pPr>
            <w:r>
              <w:rPr>
                <w:color w:val="222222"/>
                <w:sz w:val="20"/>
                <w:szCs w:val="20"/>
              </w:rPr>
              <w:t xml:space="preserve">•  A transparent, six-component score out of 100 — Peer Conviction (/30), New-Buyer signal (/20), Comparability Fit (/15), Turnover style (/15), Purchasing Power (/10), Contactability (/10) — rolling up to a P1–P5 priority tier.</w:t>
            </w:r>
          </w:p>
          <w:p>
            <w:pPr>
              <w:spacing w:after="40"/>
            </w:pPr>
            <w:r>
              <w:rPr>
                <w:color w:val="222222"/>
                <w:sz w:val="20"/>
                <w:szCs w:val="20"/>
              </w:rPr>
              <w:t xml:space="preserve">•  Purchasing Power is a real number, not a guess: it's each institution's actual whole 13F book size, computed from the same SEC bulk-data pass that builds the holder list, at no extra cost.</w:t>
            </w:r>
          </w:p>
          <w:p>
            <w:pPr>
              <w:spacing w:after="40"/>
            </w:pPr>
            <w:r>
              <w:rPr>
                <w:color w:val="222222"/>
                <w:sz w:val="20"/>
                <w:szCs w:val="20"/>
              </w:rPr>
              <w:t xml:space="preserve">•  It's never a black-box composite — every component score is shown, so IR can see WHY a prospect ranked where it did, not just the final number.</w:t>
            </w:r>
          </w:p>
          <w:p>
            <w:pPr>
              <w:spacing w:after="40"/>
            </w:pPr>
            <w:r>
              <w:rPr>
                <w:color w:val="222222"/>
                <w:sz w:val="20"/>
                <w:szCs w:val="20"/>
              </w:rPr>
              <w:t xml:space="preserve">•  Score-learning: as real meeting outcomes get logged, the platform can suggest re-weighting the formula based on what's actually converting — the model improves from your own results.</w:t>
            </w:r>
          </w:p>
        </w:tc>
      </w:tr>
    </w:tbl>
    <w:p>
      <w:pPr>
        <w:spacing w:after="80" w:before="180"/>
      </w:pPr>
      <w:r>
        <w:rPr>
          <w:b/>
          <w:bCs/>
          <w:color w:val="36454F"/>
          <w:sz w:val="21"/>
          <w:szCs w:val="21"/>
        </w:rPr>
        <w:t xml:space="preserve">2d. SEC Intelligence</w:t>
      </w:r>
    </w:p>
    <w:p>
      <w:pPr>
        <w:spacing w:after="100"/>
      </w:pPr>
      <w:r>
        <w:rPr>
          <w:b/>
          <w:bCs/>
          <w:i/>
          <w:iCs/>
          <w:color w:val="36454F"/>
          <w:sz w:val="21"/>
          <w:szCs w:val="21"/>
        </w:rPr>
        <w:t xml:space="preserve">Say: </w:t>
      </w:r>
      <w:r>
        <w:rPr>
          <w:i/>
          <w:iCs/>
          <w:color w:val="222222"/>
          <w:sz w:val="21"/>
          <w:szCs w:val="21"/>
        </w:rPr>
        <w:t xml:space="preserve">"And this whole engine is fed by live 13D/13G/13F data pulled directly from EDGAR — real institutional ownership changes, not a stale snapshot."</w:t>
      </w:r>
    </w:p>
    <w:p>
      <w:pPr>
        <w:pBdr>
          <w:bottom w:val="single" w:color="D8D2C4" w:sz="6"/>
        </w:pBdr>
        <w:spacing w:after="200" w:before="100"/>
      </w:pPr>
    </w:p>
    <w:p>
      <w:pPr>
        <w:pStyle w:val="Heading1"/>
        <w:spacing w:after="160" w:before="400"/>
      </w:pPr>
      <w:r>
        <w:rPr>
          <w:b/>
          <w:bCs/>
          <w:color w:val="1E2761"/>
          <w:sz w:val="30"/>
          <w:szCs w:val="30"/>
        </w:rPr>
        <w:t xml:space="preserve">3. Market Intelligence — Consensus Estimates</w:t>
      </w:r>
    </w:p>
    <w:p>
      <w:pPr>
        <w:spacing w:after="80" w:before="180"/>
      </w:pPr>
      <w:r>
        <w:rPr>
          <w:b/>
          <w:bCs/>
          <w:color w:val="36454F"/>
          <w:sz w:val="21"/>
          <w:szCs w:val="21"/>
        </w:rPr>
        <w:t xml:space="preserve">3a. IR Risk Dashboard</w:t>
      </w:r>
    </w:p>
    <w:p>
      <w:pPr>
        <w:spacing w:after="100"/>
      </w:pPr>
      <w:r>
        <w:rPr>
          <w:i w:val="false"/>
          <w:iCs w:val="false"/>
          <w:color w:val="222222"/>
          <w:sz w:val="21"/>
          <w:szCs w:val="21"/>
        </w:rPr>
        <w:t xml:space="preserve">Open Market Intelligence, land on the IR Risk Dashboard tab. Expand "Show the 6 risk categories (24 indicators)".</w:t>
      </w:r>
    </w:p>
    <w:p>
      <w:pPr>
        <w:spacing w:after="100"/>
      </w:pPr>
      <w:r>
        <w:rPr>
          <w:b/>
          <w:bCs/>
          <w:i/>
          <w:iCs/>
          <w:color w:val="36454F"/>
          <w:sz w:val="21"/>
          <w:szCs w:val="21"/>
        </w:rPr>
        <w:t xml:space="preserve">Say: </w:t>
      </w:r>
      <w:r>
        <w:rPr>
          <w:i/>
          <w:iCs/>
          <w:color w:val="222222"/>
          <w:sz w:val="21"/>
          <w:szCs w:val="21"/>
        </w:rPr>
        <w:t xml:space="preserve">"This is a 24-indicator scorecard across six risk categories, and I want to show you something most dashboards hide: where we have real data behind an indicator, and where we honestly don't yet."</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Honest, Not Fabricated</w:t>
            </w:r>
          </w:p>
          <w:p>
            <w:pPr>
              <w:spacing w:after="40"/>
            </w:pPr>
            <w:r>
              <w:rPr>
                <w:color w:val="222222"/>
                <w:sz w:val="20"/>
                <w:szCs w:val="20"/>
              </w:rPr>
              <w:t xml:space="preserve">•  Every indicator is computed from a real source where one exists in the platform: live market data, SEC ownership filings, the Reg FD log, script-workflow stage state, the Consensus Tracker log, AI-summarized call transcripts, and now real logged NDR objections.</w:t>
            </w:r>
          </w:p>
          <w:p>
            <w:pPr>
              <w:spacing w:after="40"/>
            </w:pPr>
            <w:r>
              <w:rPr>
                <w:color w:val="222222"/>
                <w:sz w:val="20"/>
                <w:szCs w:val="20"/>
              </w:rPr>
              <w:t xml:space="preserve">•  Where no real source exists yet — short interest, insider Form 4s, ESG monitoring, activist screening, full cap table — the indicator is marked GRAY / "Not Tracked," deliberately, instead of showing a plausible-looking placeholder number.</w:t>
            </w:r>
          </w:p>
          <w:p>
            <w:pPr>
              <w:spacing w:after="40"/>
            </w:pPr>
            <w:r>
              <w:rPr>
                <w:color w:val="222222"/>
                <w:sz w:val="20"/>
                <w:szCs w:val="20"/>
              </w:rPr>
              <w:t xml:space="preserve">•  This is the single most important credibility point in the whole demo: a CFO can trust every colored indicator precisely because the gray ones admit what isn't real yet.</w:t>
            </w:r>
          </w:p>
        </w:tc>
      </w:tr>
    </w:tbl>
    <w:p>
      <w:pPr>
        <w:spacing w:after="80" w:before="180"/>
      </w:pPr>
      <w:r>
        <w:rPr>
          <w:b/>
          <w:bCs/>
          <w:color w:val="36454F"/>
          <w:sz w:val="21"/>
          <w:szCs w:val="21"/>
        </w:rPr>
        <w:t xml:space="preserve">3b. Consensus Matrix &amp; PT Drift Tracker</w:t>
      </w:r>
    </w:p>
    <w:p>
      <w:pPr>
        <w:spacing w:after="100"/>
      </w:pPr>
      <w:r>
        <w:rPr>
          <w:i w:val="false"/>
          <w:iCs w:val="false"/>
          <w:color w:val="222222"/>
          <w:sz w:val="21"/>
          <w:szCs w:val="21"/>
        </w:rPr>
        <w:t xml:space="preserve">Switch tabs to show the Street Consensus Matrix, then PT Drift Tracker.</w:t>
      </w:r>
    </w:p>
    <w:p>
      <w:pPr>
        <w:spacing w:after="100"/>
      </w:pPr>
      <w:r>
        <w:rPr>
          <w:b/>
          <w:bCs/>
          <w:i/>
          <w:iCs/>
          <w:color w:val="36454F"/>
          <w:sz w:val="21"/>
          <w:szCs w:val="21"/>
        </w:rPr>
        <w:t xml:space="preserve">Say: </w:t>
      </w:r>
      <w:r>
        <w:rPr>
          <w:i/>
          <w:iCs/>
          <w:color w:val="222222"/>
          <w:sz w:val="21"/>
          <w:szCs w:val="21"/>
        </w:rPr>
        <w:t xml:space="preserve">"Consensus estimates and price-target moves are tracked as a durable log, not a snapshot — so you can see the trend, not just today's number. And it exports straight to a board-ready slide."</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w:t>
            </w:r>
          </w:p>
          <w:p>
            <w:pPr>
              <w:spacing w:after="40"/>
            </w:pPr>
            <w:r>
              <w:rPr>
                <w:color w:val="222222"/>
                <w:sz w:val="20"/>
                <w:szCs w:val="20"/>
              </w:rPr>
              <w:t xml:space="preserve">•  Consensus estimates persist with full history (core.consensus) — every analyst revision is a logged event, feeding a model-review queue when a covering analyst sends an updated model.</w:t>
            </w:r>
          </w:p>
          <w:p>
            <w:pPr>
              <w:spacing w:after="40"/>
            </w:pPr>
            <w:r>
              <w:rPr>
                <w:color w:val="222222"/>
                <w:sz w:val="20"/>
                <w:szCs w:val="20"/>
              </w:rPr>
              <w:t xml:space="preserve">•  PT Drift Tracker has a one-click "Export as Board Slide" (.pptx) — turns the live tracker straight into a deliverable for the board deck.</w:t>
            </w:r>
          </w:p>
        </w:tc>
      </w:tr>
    </w:tbl>
    <w:p>
      <w:pPr>
        <w:pBdr>
          <w:bottom w:val="single" w:color="D8D2C4" w:sz="6"/>
        </w:pBdr>
        <w:spacing w:after="200" w:before="100"/>
      </w:pPr>
    </w:p>
    <w:p>
      <w:pPr>
        <w:pStyle w:val="Heading1"/>
        <w:spacing w:after="160" w:before="400"/>
      </w:pPr>
      <w:r>
        <w:rPr>
          <w:b/>
          <w:bCs/>
          <w:color w:val="1E2761"/>
          <w:sz w:val="30"/>
          <w:szCs w:val="30"/>
        </w:rPr>
        <w:t xml:space="preserve">4. Earnings Cycle — Script Generation  (Flagship)</w:t>
      </w:r>
    </w:p>
    <w:p>
      <w:pPr>
        <w:spacing w:after="100"/>
      </w:pPr>
      <w:r>
        <w:rPr>
          <w:i/>
          <w:iCs/>
          <w:color w:val="5B5B5B"/>
          <w:sz w:val="21"/>
          <w:szCs w:val="21"/>
        </w:rPr>
        <w:t xml:space="preserve">This is the deepest, most differentiated part of the platform — plan for 10 minutes here, more if the CFO is engaged.</w:t>
      </w:r>
    </w:p>
    <w:p>
      <w:pPr>
        <w:spacing w:after="80" w:before="180"/>
      </w:pPr>
      <w:r>
        <w:rPr>
          <w:b/>
          <w:bCs/>
          <w:color w:val="36454F"/>
          <w:sz w:val="21"/>
          <w:szCs w:val="21"/>
        </w:rPr>
        <w:t xml:space="preserve">4a. The 5-stage approval workflow</w:t>
      </w:r>
    </w:p>
    <w:p>
      <w:pPr>
        <w:spacing w:after="100"/>
      </w:pPr>
      <w:r>
        <w:rPr>
          <w:i w:val="false"/>
          <w:iCs w:val="false"/>
          <w:color w:val="222222"/>
          <w:sz w:val="21"/>
          <w:szCs w:val="21"/>
        </w:rPr>
        <w:t xml:space="preserve">Open Earnings Cycle → Script Generation. Point to the 5-stage pipeline strip: CFO Numbers In → IR Review → CFO+CEO+CRO Review → Consolidation → Legal Sign-Off.</w:t>
      </w:r>
    </w:p>
    <w:p>
      <w:pPr>
        <w:spacing w:after="100"/>
      </w:pPr>
      <w:r>
        <w:rPr>
          <w:b/>
          <w:bCs/>
          <w:i/>
          <w:iCs/>
          <w:color w:val="36454F"/>
          <w:sz w:val="21"/>
          <w:szCs w:val="21"/>
        </w:rPr>
        <w:t xml:space="preserve">Say: </w:t>
      </w:r>
      <w:r>
        <w:rPr>
          <w:i/>
          <w:iCs/>
          <w:color w:val="222222"/>
          <w:sz w:val="21"/>
          <w:szCs w:val="21"/>
        </w:rPr>
        <w:t xml:space="preserve">"Every earnings call script goes through a real, stateful approval pipeline — not a shared Word doc emailed around and prayed over. You always know exactly which stage it's in and who's holding it up."</w:t>
      </w:r>
    </w:p>
    <w:p>
      <w:pPr>
        <w:spacing w:after="80" w:before="180"/>
      </w:pPr>
      <w:r>
        <w:rPr>
          <w:b/>
          <w:bCs/>
          <w:color w:val="36454F"/>
          <w:sz w:val="21"/>
          <w:szCs w:val="21"/>
        </w:rPr>
        <w:t xml:space="preserve">4b. Prior Qtr Review + persona drafting</w:t>
      </w:r>
    </w:p>
    <w:p>
      <w:pPr>
        <w:spacing w:after="100"/>
      </w:pPr>
      <w:r>
        <w:rPr>
          <w:i w:val="false"/>
          <w:iCs w:val="false"/>
          <w:color w:val="222222"/>
          <w:sz w:val="21"/>
          <w:szCs w:val="21"/>
        </w:rPr>
        <w:t xml:space="preserve">On Stage 3 (CFO+CEO+CRO Review), scroll through the IR Opening, CFO Financial Review, Business Operations, and CEO Narrative sections.</w:t>
      </w:r>
    </w:p>
    <w:p>
      <w:pPr>
        <w:spacing w:after="100"/>
      </w:pPr>
      <w:r>
        <w:rPr>
          <w:b/>
          <w:bCs/>
          <w:i/>
          <w:iCs/>
          <w:color w:val="36454F"/>
          <w:sz w:val="21"/>
          <w:szCs w:val="21"/>
        </w:rPr>
        <w:t xml:space="preserve">Say: </w:t>
      </w:r>
      <w:r>
        <w:rPr>
          <w:i/>
          <w:iCs/>
          <w:color w:val="222222"/>
          <w:sz w:val="21"/>
          <w:szCs w:val="21"/>
        </w:rPr>
        <w:t xml:space="preserve">"Each speaker's section starts by showing exactly what was said last quarter — including a carried-forward post-mortem note. Look here: the CFO section flags that the interest income decline was NOT pre-empted last quarter and drew three analyst follow-up questions. That note came from the platform's own post-mortem tracking, and it's suggesting the fix before the CFO even starts drafting."</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Post-Mortem Memory</w:t>
            </w:r>
          </w:p>
          <w:p>
            <w:pPr>
              <w:spacing w:after="40"/>
            </w:pPr>
            <w:r>
              <w:rPr>
                <w:color w:val="222222"/>
                <w:sz w:val="20"/>
                <w:szCs w:val="20"/>
              </w:rPr>
              <w:t xml:space="preserve">•  The platform remembers what happened on the LAST call — which topics drew follow-up questions, which sections ran long, what worked — and surfaces it as an actionable prompt on THIS quarter's draft, not buried in a transcript nobody re-reads.</w:t>
            </w:r>
          </w:p>
          <w:p>
            <w:pPr>
              <w:spacing w:after="40"/>
            </w:pPr>
            <w:r>
              <w:rPr>
                <w:color w:val="222222"/>
                <w:sz w:val="20"/>
                <w:szCs w:val="20"/>
              </w:rPr>
              <w:t xml:space="preserve">•  AI-drafted language is generated per speaker section from that context, with live word-count and pacing estimates so you know if the CFO section is going to run long before the call, not during it.</w:t>
            </w:r>
          </w:p>
          <w:p>
            <w:pPr>
              <w:spacing w:after="40"/>
            </w:pPr>
            <w:r>
              <w:rPr>
                <w:color w:val="222222"/>
                <w:sz w:val="20"/>
                <w:szCs w:val="20"/>
              </w:rPr>
              <w:t xml:space="preserve">•  A cross-persona consistency checker runs before the workflow can advance from drafting to review — catching contradictions between what the CFO says and what the CEO says before Legal ever sees it.</w:t>
            </w:r>
          </w:p>
        </w:tc>
      </w:tr>
    </w:tbl>
    <w:p>
      <w:pPr>
        <w:spacing w:after="80" w:before="180"/>
      </w:pPr>
      <w:r>
        <w:rPr>
          <w:b/>
          <w:bCs/>
          <w:color w:val="36454F"/>
          <w:sz w:val="21"/>
          <w:szCs w:val="21"/>
        </w:rPr>
        <w:t xml:space="preserve">4c. Guidance &amp; Outlook Decision Engine</w:t>
      </w:r>
    </w:p>
    <w:p>
      <w:pPr>
        <w:spacing w:after="100"/>
      </w:pPr>
      <w:r>
        <w:rPr>
          <w:i w:val="false"/>
          <w:iCs w:val="false"/>
          <w:color w:val="222222"/>
          <w:sz w:val="21"/>
          <w:szCs w:val="21"/>
        </w:rPr>
        <w:t xml:space="preserve">Scroll to the CEO Narrative + Guidance section and show the Guidance &amp; Outlook Decision Engine card — the four metric tiles and the RECOMMENDED ACTION banner.</w:t>
      </w:r>
    </w:p>
    <w:p>
      <w:pPr>
        <w:spacing w:after="100"/>
      </w:pPr>
      <w:r>
        <w:rPr>
          <w:b/>
          <w:bCs/>
          <w:i/>
          <w:iCs/>
          <w:color w:val="36454F"/>
          <w:sz w:val="21"/>
          <w:szCs w:val="21"/>
        </w:rPr>
        <w:t xml:space="preserve">Say: </w:t>
      </w:r>
      <w:r>
        <w:rPr>
          <w:i/>
          <w:iCs/>
          <w:color w:val="222222"/>
          <w:sz w:val="21"/>
          <w:szCs w:val="21"/>
        </w:rPr>
        <w:t xml:space="preserve">"This is the single highest-stakes paragraph on any earnings call, and normally it's drafted from gut feel under time pressure. Here, the platform computes where the company actually sits versus its own seasonal pace and the Street's numbers, and recommends one of four guidance actions — then drafts the exact language for whichever one you pick."</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Guidance &amp; Outlook Decision Engine</w:t>
            </w:r>
          </w:p>
          <w:p>
            <w:pPr>
              <w:spacing w:after="40"/>
            </w:pPr>
            <w:r>
              <w:rPr>
                <w:color w:val="222222"/>
                <w:sz w:val="20"/>
                <w:szCs w:val="20"/>
              </w:rPr>
              <w:t xml:space="preserve">•  Reads YTD revenue against a seasonally-weighted pace (not a naive straight-line quarterly average) to show how far ahead or behind plan the company really is.</w:t>
            </w:r>
          </w:p>
          <w:p>
            <w:pPr>
              <w:spacing w:after="40"/>
            </w:pPr>
            <w:r>
              <w:rPr>
                <w:color w:val="222222"/>
                <w:sz w:val="20"/>
                <w:szCs w:val="20"/>
              </w:rPr>
              <w:t xml:space="preserve">•  Computes FY-implied revenue from H1 actuals, compares it to the board-approved guidance range, and shows exactly how much H2 revenue is needed to hit the low end.</w:t>
            </w:r>
          </w:p>
          <w:p>
            <w:pPr>
              <w:spacing w:after="40"/>
            </w:pPr>
            <w:r>
              <w:rPr>
                <w:color w:val="222222"/>
                <w:sz w:val="20"/>
                <w:szCs w:val="20"/>
              </w:rPr>
              <w:t xml:space="preserve">•  Recommends one of four actions — Raise the low end, Raise the midpoint, Reiterate, or Narrow — based on beat/miss vs. Street and H2 growth required versus prior-year H2, with the reasoning stated in plain English, not just a colored badge.</w:t>
            </w:r>
          </w:p>
          <w:p>
            <w:pPr>
              <w:spacing w:after="40"/>
            </w:pPr>
            <w:r>
              <w:rPr>
                <w:color w:val="222222"/>
                <w:sz w:val="20"/>
                <w:szCs w:val="20"/>
              </w:rPr>
              <w:t xml:space="preserve">•  Every specific forward-looking numeric claim in the drafted language is auto-tagged [FLS] for Legal review — nothing gets to Stage 5 unmarked.</w:t>
            </w:r>
          </w:p>
          <w:p>
            <w:pPr>
              <w:spacing w:after="40"/>
            </w:pPr>
            <w:r>
              <w:rPr>
                <w:color w:val="222222"/>
                <w:sz w:val="20"/>
                <w:szCs w:val="20"/>
              </w:rPr>
              <w:t xml:space="preserve">•  CFO and CEO still make the final call — the engine recommends, it doesn't decide. That's a deliberate design choice.</w:t>
            </w:r>
          </w:p>
        </w:tc>
      </w:tr>
    </w:tbl>
    <w:p>
      <w:pPr>
        <w:spacing w:after="80" w:before="180"/>
      </w:pPr>
      <w:r>
        <w:rPr>
          <w:b/>
          <w:bCs/>
          <w:color w:val="36454F"/>
          <w:sz w:val="21"/>
          <w:szCs w:val="21"/>
        </w:rPr>
        <w:t xml:space="preserve">4d. Q&amp;A Prep</w:t>
      </w:r>
    </w:p>
    <w:p>
      <w:pPr>
        <w:spacing w:after="100"/>
      </w:pPr>
      <w:r>
        <w:rPr>
          <w:i w:val="false"/>
          <w:iCs w:val="false"/>
          <w:color w:val="222222"/>
          <w:sz w:val="21"/>
          <w:szCs w:val="21"/>
        </w:rPr>
        <w:t xml:space="preserve">Scroll to the Q&amp;A Prep card.</w:t>
      </w:r>
    </w:p>
    <w:p>
      <w:pPr>
        <w:spacing w:after="100"/>
      </w:pPr>
      <w:r>
        <w:rPr>
          <w:b/>
          <w:bCs/>
          <w:i/>
          <w:iCs/>
          <w:color w:val="36454F"/>
          <w:sz w:val="21"/>
          <w:szCs w:val="21"/>
        </w:rPr>
        <w:t xml:space="preserve">Say: </w:t>
      </w:r>
      <w:r>
        <w:rPr>
          <w:i/>
          <w:iCs/>
          <w:color w:val="222222"/>
          <w:sz w:val="21"/>
          <w:szCs w:val="21"/>
        </w:rPr>
        <w:t xml:space="preserve">"Before the call even happens, the platform tells you which questions are coming — because they're the ones that weren't answered last time, plus anything sell-side analysts have flagged in their own research notes."</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Predicted Questions</w:t>
            </w:r>
          </w:p>
          <w:p>
            <w:pPr>
              <w:spacing w:after="40"/>
            </w:pPr>
            <w:r>
              <w:rPr>
                <w:color w:val="222222"/>
                <w:sz w:val="20"/>
                <w:szCs w:val="20"/>
              </w:rPr>
              <w:t xml:space="preserve">•  Deterministic, not AI-guessed: built from real gaps in the last call (topics that drew follow-up questions and weren't fully pre-empted) plus catalysts and risks extracted from ingested sell-side research notes.</w:t>
            </w:r>
          </w:p>
          <w:p>
            <w:pPr>
              <w:spacing w:after="40"/>
            </w:pPr>
            <w:r>
              <w:rPr>
                <w:color w:val="222222"/>
                <w:sz w:val="20"/>
                <w:szCs w:val="20"/>
              </w:rPr>
              <w:t xml:space="preserve">•  Every predicted question comes with a one-line recommendation for where to address it proactively in the script — turning defense into offense before the call starts.</w:t>
            </w:r>
          </w:p>
        </w:tc>
      </w:tr>
    </w:tbl>
    <w:p>
      <w:pPr>
        <w:spacing w:after="80" w:before="180"/>
      </w:pPr>
      <w:r>
        <w:rPr>
          <w:b/>
          <w:bCs/>
          <w:color w:val="36454F"/>
          <w:sz w:val="21"/>
          <w:szCs w:val="21"/>
        </w:rPr>
        <w:t xml:space="preserve">4e. Call Opening — Compliance, locked</w:t>
      </w:r>
    </w:p>
    <w:p>
      <w:pPr>
        <w:spacing w:after="100"/>
      </w:pPr>
      <w:r>
        <w:rPr>
          <w:i w:val="false"/>
          <w:iCs w:val="false"/>
          <w:color w:val="222222"/>
          <w:sz w:val="21"/>
          <w:szCs w:val="21"/>
        </w:rPr>
        <w:t xml:space="preserve">Scroll to the top of the Script Canvas and show the pink-bordered Call Opening card.</w:t>
      </w:r>
    </w:p>
    <w:p>
      <w:pPr>
        <w:spacing w:after="100"/>
      </w:pPr>
      <w:r>
        <w:rPr>
          <w:b/>
          <w:bCs/>
          <w:i/>
          <w:iCs/>
          <w:color w:val="36454F"/>
          <w:sz w:val="21"/>
          <w:szCs w:val="21"/>
        </w:rPr>
        <w:t xml:space="preserve">Say: </w:t>
      </w:r>
      <w:r>
        <w:rPr>
          <w:i/>
          <w:iCs/>
          <w:color w:val="222222"/>
          <w:sz w:val="21"/>
          <w:szCs w:val="21"/>
        </w:rPr>
        <w:t xml:space="preserve">"And this section — the operator script and the Safe Harbor / Reg FD reading — is legal-approved and locked. It's not an editable AI draft like everything else on this page; it reads verbatim, every quarter, automatically pulling in whichever executives are on the call that quarter."</w:t>
      </w:r>
    </w:p>
    <w:p>
      <w:pPr>
        <w:pBdr>
          <w:bottom w:val="single" w:color="D8D2C4" w:sz="6"/>
        </w:pBdr>
        <w:spacing w:after="200" w:before="100"/>
      </w:pPr>
    </w:p>
    <w:p>
      <w:pPr>
        <w:pStyle w:val="Heading1"/>
        <w:spacing w:after="160" w:before="400"/>
      </w:pPr>
      <w:r>
        <w:rPr>
          <w:b/>
          <w:bCs/>
          <w:color w:val="1E2761"/>
          <w:sz w:val="30"/>
          <w:szCs w:val="30"/>
        </w:rPr>
        <w:t xml:space="preserve">5. Outreach — Mail Gateway</w:t>
      </w:r>
    </w:p>
    <w:p>
      <w:pPr>
        <w:spacing w:after="100"/>
      </w:pPr>
      <w:r>
        <w:rPr>
          <w:i w:val="false"/>
          <w:iCs w:val="false"/>
          <w:color w:val="222222"/>
          <w:sz w:val="21"/>
          <w:szCs w:val="21"/>
        </w:rPr>
        <w:t xml:space="preserve">Open Outreach and show the Pending Inbox Items (on Investor Targeting) or the classification flow if time allows.</w:t>
      </w:r>
    </w:p>
    <w:p>
      <w:pPr>
        <w:spacing w:after="100"/>
      </w:pPr>
      <w:r>
        <w:rPr>
          <w:b/>
          <w:bCs/>
          <w:i/>
          <w:iCs/>
          <w:color w:val="36454F"/>
          <w:sz w:val="21"/>
          <w:szCs w:val="21"/>
        </w:rPr>
        <w:t xml:space="preserve">Say: </w:t>
      </w:r>
      <w:r>
        <w:rPr>
          <w:i/>
          <w:iCs/>
          <w:color w:val="222222"/>
          <w:sz w:val="21"/>
          <w:szCs w:val="21"/>
        </w:rPr>
        <w:t xml:space="preserve">"Every inbound IR email gets automatically read and classified — is this an updated analyst model, a full research note, an NDR request, a conference invite, or a buy-side meeting request — and routed accordingly."</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 — AI Email Classification</w:t>
            </w:r>
          </w:p>
          <w:p>
            <w:pPr>
              <w:spacing w:after="40"/>
            </w:pPr>
            <w:r>
              <w:rPr>
                <w:color w:val="222222"/>
                <w:sz w:val="20"/>
                <w:szCs w:val="20"/>
              </w:rPr>
              <w:t xml:space="preserve">•  Five categories, each with its own extraction: an updated model gets routed to the review queue; a research note gets a CFA-lens extraction — rating/PT change, valuation method, key assumptions, whether the thesis is in-line or a variant view, and catalysts/risks — so the Head of IR can decide in seconds whether it's worth circulating internally, not just "reviewed / not reviewed."</w:t>
            </w:r>
          </w:p>
          <w:p>
            <w:pPr>
              <w:spacing w:after="40"/>
            </w:pPr>
            <w:r>
              <w:rPr>
                <w:color w:val="222222"/>
                <w:sz w:val="20"/>
                <w:szCs w:val="20"/>
              </w:rPr>
              <w:t xml:space="preserve">•  Explicitly marked Internal Use Only — sell-side research is licensed content, so the platform is built around internal circulation (CFO/CEO/board), never external redistribution.</w:t>
            </w:r>
          </w:p>
        </w:tc>
      </w:tr>
    </w:tbl>
    <w:p>
      <w:pPr>
        <w:pBdr>
          <w:bottom w:val="single" w:color="D8D2C4" w:sz="6"/>
        </w:pBdr>
        <w:spacing w:after="200" w:before="100"/>
      </w:pPr>
    </w:p>
    <w:p>
      <w:pPr>
        <w:pStyle w:val="Heading1"/>
        <w:spacing w:after="160" w:before="400"/>
      </w:pPr>
      <w:r>
        <w:rPr>
          <w:b/>
          <w:bCs/>
          <w:color w:val="1E2761"/>
          <w:sz w:val="30"/>
          <w:szCs w:val="30"/>
        </w:rPr>
        <w:t xml:space="preserve">6. Reports — Automation Tracker (the ROI proof point)</w:t>
      </w:r>
    </w:p>
    <w:p>
      <w:pPr>
        <w:spacing w:after="100"/>
      </w:pPr>
      <w:r>
        <w:rPr>
          <w:i w:val="false"/>
          <w:iCs w:val="false"/>
          <w:color w:val="222222"/>
          <w:sz w:val="21"/>
          <w:szCs w:val="21"/>
        </w:rPr>
        <w:t xml:space="preserve">Open Reports → Automation Tracker tab.</w:t>
      </w:r>
    </w:p>
    <w:p>
      <w:pPr>
        <w:spacing w:after="100"/>
      </w:pPr>
      <w:r>
        <w:rPr>
          <w:b/>
          <w:bCs/>
          <w:i/>
          <w:iCs/>
          <w:color w:val="36454F"/>
          <w:sz w:val="21"/>
          <w:szCs w:val="21"/>
        </w:rPr>
        <w:t xml:space="preserve">Say: </w:t>
      </w:r>
      <w:r>
        <w:rPr>
          <w:i/>
          <w:iCs/>
          <w:color w:val="222222"/>
          <w:sz w:val="21"/>
          <w:szCs w:val="21"/>
        </w:rPr>
        <w:t xml:space="preserve">"This is the tab that answers 'what did we actually get for this.' It's a real, queryable log of every automated action the platform took, broken down by type."</w:t>
      </w:r>
    </w:p>
    <w:tbl>
      <w:tblPr>
        <w:tblW w:type="pct" w:w="100%"/>
        <w:tblBorders>
          <w:top w:val="single" w:color="C9BFA5" w:sz="4"/>
          <w:left w:val="single" w:color="C9BFA5" w:sz="4"/>
          <w:bottom w:val="single" w:color="C9BFA5" w:sz="4"/>
          <w:right w:val="single" w:color="C9BFA5" w:sz="4"/>
          <w:insideH w:val="none" w:color="FFFFFF" w:sz="0"/>
          <w:insideV w:val="none" w:color="FFFFFF" w:sz="0"/>
        </w:tblBorders>
      </w:tblPr>
      <w:tblGrid>
        <w:gridCol w:w="100"/>
      </w:tblGrid>
      <w:tr>
        <w:tc>
          <w:tcPr>
            <w:tcW w:type="pct" w:w="100%"/>
            <w:shd w:fill="F3EFE6" w:val="clear"/>
            <w:tcMar>
              <w:top w:type="dxa" w:w="140"/>
              <w:left w:type="dxa" w:w="180"/>
              <w:bottom w:type="dxa" w:w="140"/>
              <w:right w:type="dxa" w:w="180"/>
            </w:tcMar>
          </w:tcPr>
          <w:p>
            <w:pPr>
              <w:spacing w:after="60"/>
            </w:pPr>
            <w:r>
              <w:rPr>
                <w:b/>
                <w:bCs/>
                <w:color w:val="1E2761"/>
                <w:sz w:val="21"/>
                <w:szCs w:val="21"/>
              </w:rPr>
              <w:t xml:space="preserve">THE INTELLIGENCE</w:t>
            </w:r>
          </w:p>
          <w:p>
            <w:pPr>
              <w:spacing w:after="40"/>
            </w:pPr>
            <w:r>
              <w:rPr>
                <w:color w:val="222222"/>
                <w:sz w:val="20"/>
                <w:szCs w:val="20"/>
              </w:rPr>
              <w:t xml:space="preserve">•  Every resolve/note/reset action on a risk signal, every email routed, every model classified is logged with what page and section it was launched from — so the Automation Tracker isn't a guess at time saved, it's a real count.</w:t>
            </w:r>
          </w:p>
        </w:tc>
      </w:tr>
    </w:tbl>
    <w:p>
      <w:pPr>
        <w:spacing w:after="100"/>
      </w:pPr>
      <w:r>
        <w:rPr>
          <w:i w:val="false"/>
          <w:iCs w:val="false"/>
          <w:color w:val="222222"/>
          <w:sz w:val="21"/>
          <w:szCs w:val="21"/>
        </w:rPr>
        <w:t xml:space="preserve">If time allows, glance at the Reg FD &amp; Compliance tab — every disclosure interaction gets logged and flagged the same way.</w:t>
      </w:r>
    </w:p>
    <w:p>
      <w:pPr>
        <w:pBdr>
          <w:bottom w:val="single" w:color="D8D2C4" w:sz="6"/>
        </w:pBdr>
        <w:spacing w:after="200" w:before="100"/>
      </w:pPr>
    </w:p>
    <w:p>
      <w:pPr>
        <w:pStyle w:val="Heading1"/>
        <w:spacing w:after="160" w:before="400"/>
      </w:pPr>
      <w:r>
        <w:rPr>
          <w:b/>
          <w:bCs/>
          <w:color w:val="1E2761"/>
          <w:sz w:val="30"/>
          <w:szCs w:val="30"/>
        </w:rPr>
        <w:t xml:space="preserve">Close</w:t>
      </w:r>
    </w:p>
    <w:p>
      <w:pPr>
        <w:spacing w:after="100"/>
      </w:pPr>
      <w:r>
        <w:rPr>
          <w:b/>
          <w:bCs/>
          <w:i/>
          <w:iCs/>
          <w:color w:val="36454F"/>
          <w:sz w:val="21"/>
          <w:szCs w:val="21"/>
        </w:rPr>
        <w:t xml:space="preserve">Say: </w:t>
      </w:r>
      <w:r>
        <w:rPr>
          <w:i/>
          <w:iCs/>
          <w:color w:val="222222"/>
          <w:sz w:val="21"/>
          <w:szCs w:val="21"/>
        </w:rPr>
        <w:t xml:space="preserve">"Everything you just saw runs on the same architecture — real data where real data exists, an honest 'not tracked yet' where it doesn't, and every AI-drafted section still requires a human sign-off before it goes anywhere. Nothing here replaces the CFO's or the Head of IR's judgment — it removes the blank page and the guesswork underneath it."</w:t>
      </w:r>
    </w:p>
    <w:p>
      <w:pPr>
        <w:spacing w:after="100"/>
      </w:pPr>
      <w:r>
        <w:rPr>
          <w:i/>
          <w:iCs/>
          <w:color w:val="5B5B5B"/>
          <w:sz w:val="21"/>
          <w:szCs w:val="21"/>
        </w:rPr>
        <w:t xml:space="preserve">Suggested close: propose next step is getting USIO's actual historicals and mailbox loaded so the CFO can see his own Q2 numbers running through this instead of the illustrative data.</w:t>
      </w:r>
    </w:p>
    <w:p>
      <w:r>
        <w:br w:type="page"/>
      </w:r>
    </w:p>
    <w:p>
      <w:pPr>
        <w:pStyle w:val="Heading1"/>
        <w:spacing w:after="160" w:before="400"/>
      </w:pPr>
      <w:r>
        <w:rPr>
          <w:b/>
          <w:bCs/>
          <w:color w:val="1E2761"/>
          <w:sz w:val="30"/>
          <w:szCs w:val="30"/>
        </w:rPr>
        <w:t xml:space="preserve">Anticipated Questions</w:t>
      </w:r>
    </w:p>
    <w:p>
      <w:pPr>
        <w:spacing w:after="80" w:before="180"/>
      </w:pPr>
      <w:r>
        <w:rPr>
          <w:b/>
          <w:bCs/>
          <w:color w:val="36454F"/>
          <w:sz w:val="21"/>
          <w:szCs w:val="21"/>
        </w:rPr>
        <w:t xml:space="preserve">"Is this real data or a mockup?"</w:t>
      </w:r>
    </w:p>
    <w:p>
      <w:pPr>
        <w:spacing w:after="100"/>
      </w:pPr>
      <w:r>
        <w:rPr>
          <w:i w:val="false"/>
          <w:iCs w:val="false"/>
          <w:color w:val="222222"/>
          <w:sz w:val="21"/>
          <w:szCs w:val="21"/>
        </w:rPr>
        <w:t xml:space="preserve">Market prices/volume and SEC 13D/13G/13F ownership data are live, pulled directly from public sources (Yahoo Finance feed and SEC EDGAR). Script content, meeting history, and consensus estimates shown today are realistic seed data standing in for USIO's actuals, which load in during onboarding.</w:t>
      </w:r>
    </w:p>
    <w:p>
      <w:pPr>
        <w:spacing w:after="80" w:before="180"/>
      </w:pPr>
      <w:r>
        <w:rPr>
          <w:b/>
          <w:bCs/>
          <w:color w:val="36454F"/>
          <w:sz w:val="21"/>
          <w:szCs w:val="21"/>
        </w:rPr>
        <w:t xml:space="preserve">"Where does the AI draft language come from — is it making things up?"</w:t>
      </w:r>
    </w:p>
    <w:p>
      <w:pPr>
        <w:spacing w:after="100"/>
      </w:pPr>
      <w:r>
        <w:rPr>
          <w:i w:val="false"/>
          <w:iCs w:val="false"/>
          <w:color w:val="222222"/>
          <w:sz w:val="21"/>
          <w:szCs w:val="21"/>
        </w:rPr>
        <w:t xml:space="preserve">AI drafting is grounded in the platform's own tracked context each time: last quarter's actual language, the post-mortem notes, and the numbers entered for this quarter. It is never asked to invent numbers — the Guidance Engine's math, for example, is plain computation, not an AI guess, and every AI draft is an editable starting point that still requires a human to submit it into the script.</w:t>
      </w:r>
    </w:p>
    <w:p>
      <w:pPr>
        <w:spacing w:after="80" w:before="180"/>
      </w:pPr>
      <w:r>
        <w:rPr>
          <w:b/>
          <w:bCs/>
          <w:color w:val="36454F"/>
          <w:sz w:val="21"/>
          <w:szCs w:val="21"/>
        </w:rPr>
        <w:t xml:space="preserve">"What happens to indicators you don't have data for?"</w:t>
      </w:r>
    </w:p>
    <w:p>
      <w:pPr>
        <w:spacing w:after="100"/>
      </w:pPr>
      <w:r>
        <w:rPr>
          <w:i w:val="false"/>
          <w:iCs w:val="false"/>
          <w:color w:val="222222"/>
          <w:sz w:val="21"/>
          <w:szCs w:val="21"/>
        </w:rPr>
        <w:t xml:space="preserve">They show as GRAY / Not Tracked rather than a fabricated value — see the IR Risk Dashboard walkthrough above. This is a deliberate design principle across the whole platform: disclosed approximation over fabricated precision.</w:t>
      </w:r>
    </w:p>
    <w:p>
      <w:pPr>
        <w:spacing w:after="80" w:before="180"/>
      </w:pPr>
      <w:r>
        <w:rPr>
          <w:b/>
          <w:bCs/>
          <w:color w:val="36454F"/>
          <w:sz w:val="21"/>
          <w:szCs w:val="21"/>
        </w:rPr>
        <w:t xml:space="preserve">"Is our data secure / who can see this?"</w:t>
      </w:r>
    </w:p>
    <w:p>
      <w:pPr>
        <w:spacing w:after="100"/>
      </w:pPr>
      <w:r>
        <w:rPr>
          <w:i w:val="false"/>
          <w:iCs w:val="false"/>
          <w:color w:val="222222"/>
          <w:sz w:val="21"/>
          <w:szCs w:val="21"/>
        </w:rPr>
        <w:t xml:space="preserve">Research-note extractions and other sensitive content are explicitly marked Internal Use Only. The platform is built with a multi-tenant backend from day one — USIO's data is isolated by client ID at the database layer, which also means this same platform can extend to other issuers Praxis Point brings on without a rebuild.</w:t>
      </w:r>
    </w:p>
    <w:p>
      <w:pPr>
        <w:spacing w:after="80" w:before="180"/>
      </w:pPr>
      <w:r>
        <w:rPr>
          <w:b/>
          <w:bCs/>
          <w:color w:val="36454F"/>
          <w:sz w:val="21"/>
          <w:szCs w:val="21"/>
        </w:rPr>
        <w:t xml:space="preserve">"What's still in progress?"</w:t>
      </w:r>
    </w:p>
    <w:p>
      <w:pPr>
        <w:spacing w:after="100"/>
      </w:pPr>
      <w:r>
        <w:rPr>
          <w:i w:val="false"/>
          <w:iCs w:val="false"/>
          <w:color w:val="222222"/>
          <w:sz w:val="21"/>
          <w:szCs w:val="21"/>
        </w:rPr>
        <w:t xml:space="preserve">The live mailbox connection (IMAP) is the one piece still pending — it's stubbed and ready, waiting on which mailbox USIO wants connected and credentials, which we'd sort out during onboarding.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2026-07-12T17:45:51.458Z</dcterms:created>
  <dcterms:modified xsi:type="dcterms:W3CDTF">2026-07-12T17:45:51.458Z</dcterms:modified>
</cp:coreProperties>
</file>

<file path=docProps/custom.xml><?xml version="1.0" encoding="utf-8"?>
<Properties xmlns="http://schemas.openxmlformats.org/officeDocument/2006/custom-properties" xmlns:vt="http://schemas.openxmlformats.org/officeDocument/2006/docPropsVTypes"/>
</file>