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34AB7"/>
          <w:sz w:val="16"/>
          <w:szCs w:val="16"/>
        </w:rPr>
        <w:t xml:space="preserve">IR QUARTERLY BOARD PACKAGE</w:t>
      </w:r>
    </w:p>
    <w:p>
      <w:pPr>
        <w:spacing w:after="140"/>
      </w:pPr>
      <w:r>
        <w:rPr>
          <w:b/>
          <w:bCs/>
          <w:sz w:val="32"/>
          <w:szCs w:val="32"/>
        </w:rPr>
        <w:t xml:space="preserve">Q2 2026 — Investor Relations Summary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F5E5A"/>
                <w:sz w:val="15"/>
                <w:szCs w:val="15"/>
              </w:rPr>
              <w:t xml:space="preserve">Prepared by: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5"/>
                <w:szCs w:val="15"/>
              </w:rPr>
              <w:t xml:space="preserve">Paul Manley, SVP Investor Relations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F5E5A"/>
                <w:sz w:val="15"/>
                <w:szCs w:val="15"/>
              </w:rPr>
              <w:t xml:space="preserve">Date: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5"/>
                <w:szCs w:val="15"/>
              </w:rPr>
              <w:t xml:space="preserve">June 19, 2026</w:t>
            </w:r>
          </w:p>
        </w:tc>
      </w:tr>
    </w:tbl>
    <w:p>
      <w:pPr>
        <w:spacing w:before="160"/>
      </w:pPr>
    </w:p>
    <w:p>
      <w:pPr>
        <w:pBdr>
          <w:bottom w:val="single" w:color="D3D1C7" w:sz="4" w:space="3"/>
        </w:pBdr>
        <w:spacing w:after="140"/>
      </w:pPr>
    </w:p>
    <w:p>
      <w:pPr>
        <w:pStyle w:val="Heading1"/>
        <w:spacing w:after="70" w:before="140"/>
      </w:pPr>
      <w:r>
        <w:t xml:space="preserve">1. Quarter at a glance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b/>
                <w:bCs/>
                <w:color w:val="0F6E56"/>
                <w:sz w:val="26"/>
                <w:szCs w:val="26"/>
              </w:rPr>
              <w:t xml:space="preserve">+16%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Revenue growth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b/>
                <w:bCs/>
                <w:color w:val="0F6E56"/>
                <w:sz w:val="26"/>
                <w:szCs w:val="26"/>
              </w:rPr>
              <w:t xml:space="preserve">+8.75%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Beat vs. consensus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b/>
                <w:bCs/>
                <w:color w:val="534AB7"/>
                <w:sz w:val="26"/>
                <w:szCs w:val="26"/>
              </w:rPr>
              <w:t xml:space="preserve">+24.2%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Stock reaction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1EFE8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b/>
                <w:bCs/>
                <w:color w:val="0F6E56"/>
                <w:sz w:val="26"/>
                <w:szCs w:val="26"/>
              </w:rPr>
              <w:t xml:space="preserve">0.14% of float</w:t>
            </w:r>
          </w:p>
          <w:p>
            <w:pPr>
              <w:spacing w:before="30"/>
            </w:pPr>
            <w:r>
              <w:rPr>
                <w:color w:val="5F5E5A"/>
                <w:sz w:val="14"/>
                <w:szCs w:val="14"/>
              </w:rPr>
              <w:t xml:space="preserve">Short interest</w:t>
            </w:r>
          </w:p>
        </w:tc>
      </w:tr>
    </w:tbl>
    <w:p>
      <w:pPr>
        <w:spacing w:after="0" w:before="60"/>
      </w:pPr>
      <w:r>
        <w:rPr>
          <w:i/>
          <w:iCs/>
          <w:color w:val="5F5E5A"/>
          <w:sz w:val="17"/>
          <w:szCs w:val="17"/>
        </w:rPr>
        <w:t xml:space="preserve">Q2 beat and raised: revenue growth guidance moved from 10–12% to 12–13%. Short interest is negligible (0.3 days to cover) — the post-earnings move reflects real buying, not short-covering. No evidence of correlation to peer (MQ, PAYS) results reported the same week — detail in Section 4.</w:t>
      </w:r>
    </w:p>
    <w:p>
      <w:pPr>
        <w:pStyle w:val="Heading1"/>
        <w:spacing w:after="70" w:before="140"/>
      </w:pPr>
      <w:r>
        <w:t xml:space="preserve">2. Sell-side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1300"/>
        <w:gridCol w:w="1680"/>
        <w:gridCol w:w="1680"/>
      </w:tblGrid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Analyst</w:t>
            </w:r>
          </w:p>
        </w:tc>
        <w:tc>
          <w:tcPr>
            <w:tcW w:type="dxa" w:w="20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Firm</w:t>
            </w:r>
          </w:p>
        </w:tc>
        <w:tc>
          <w:tcPr>
            <w:tcW w:type="dxa" w:w="1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PT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Q3'26 vs. guide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FY26 vs. guide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Hickman</w:t>
            </w:r>
          </w:p>
        </w:tc>
        <w:tc>
          <w:tcPr>
            <w:tcW w:type="dxa" w:w="20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Ladenburg Thalmann</w:t>
            </w:r>
          </w:p>
        </w:tc>
        <w:tc>
          <w:tcPr>
            <w:tcW w:type="dxa" w:w="1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Buy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$6.25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633806"/>
                <w:sz w:val="17"/>
                <w:szCs w:val="17"/>
              </w:rPr>
              <w:t xml:space="preserve">↑ Above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633806"/>
                <w:sz w:val="17"/>
                <w:szCs w:val="17"/>
              </w:rPr>
              <w:t xml:space="preserve">↑ Above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Buck</w:t>
            </w:r>
          </w:p>
        </w:tc>
        <w:tc>
          <w:tcPr>
            <w:tcW w:type="dxa" w:w="20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H.C. Wainwright</w:t>
            </w:r>
          </w:p>
        </w:tc>
        <w:tc>
          <w:tcPr>
            <w:tcW w:type="dxa" w:w="1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Buy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$4.50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791F1F"/>
                <w:sz w:val="17"/>
                <w:szCs w:val="17"/>
              </w:rPr>
              <w:t xml:space="preserve">↓ Below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791F1F"/>
                <w:sz w:val="17"/>
                <w:szCs w:val="17"/>
              </w:rPr>
              <w:t xml:space="preserve">↓ Below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Diana</w:t>
            </w:r>
          </w:p>
        </w:tc>
        <w:tc>
          <w:tcPr>
            <w:tcW w:type="dxa" w:w="20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Maxim Group</w:t>
            </w:r>
          </w:p>
        </w:tc>
        <w:tc>
          <w:tcPr>
            <w:tcW w:type="dxa" w:w="1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Buy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$4.00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85041"/>
                <w:sz w:val="17"/>
                <w:szCs w:val="17"/>
              </w:rPr>
              <w:t xml:space="preserve">In line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85041"/>
                <w:sz w:val="17"/>
                <w:szCs w:val="17"/>
              </w:rPr>
              <w:t xml:space="preserve">In line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Sine</w:t>
            </w:r>
          </w:p>
        </w:tc>
        <w:tc>
          <w:tcPr>
            <w:tcW w:type="dxa" w:w="20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Litchfield Hills</w:t>
            </w:r>
          </w:p>
        </w:tc>
        <w:tc>
          <w:tcPr>
            <w:tcW w:type="dxa" w:w="1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$3.00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791F1F"/>
                <w:sz w:val="17"/>
                <w:szCs w:val="17"/>
              </w:rPr>
              <w:t xml:space="preserve">↓ Below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85041"/>
                <w:sz w:val="17"/>
                <w:szCs w:val="17"/>
              </w:rPr>
              <w:t xml:space="preserve">In line</w:t>
            </w:r>
          </w:p>
        </w:tc>
      </w:tr>
      <w:tr>
        <w:tc>
          <w:tcPr>
            <w:tcW w:type="dxa" w:w="15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5th analyst</w:t>
            </w:r>
          </w:p>
        </w:tc>
        <w:tc>
          <w:tcPr>
            <w:tcW w:type="dxa" w:w="20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Pending confirmation</w:t>
            </w:r>
          </w:p>
        </w:tc>
        <w:tc>
          <w:tcPr>
            <w:tcW w:type="dxa" w:w="12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Sell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$1.50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7"/>
                <w:szCs w:val="17"/>
              </w:rPr>
              <w:t xml:space="preserve">N/A</w:t>
            </w:r>
          </w:p>
        </w:tc>
        <w:tc>
          <w:tcPr>
            <w:tcW w:type="dxa" w:w="168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40"/>
      </w:pPr>
      <w:r>
        <w:rPr>
          <w:i/>
          <w:iCs/>
          <w:color w:val="5F5E5A"/>
          <w:sz w:val="16"/>
          <w:szCs w:val="16"/>
        </w:rPr>
        <w:t xml:space="preserve">Forward estimates vs. internal guidance, not just the quarter just reported. 2 of 4 models now sit above guidance for both Q3 and FY26 — consensus creeping ahead of plan; H.C. Wainwright remains the outlier on the downside. Watch for upward drift becoming a beat-the-Street risk into Q3.</w:t>
      </w:r>
    </w:p>
    <w:p>
      <w:pPr>
        <w:pStyle w:val="Heading1"/>
        <w:spacing w:after="70" w:before="140"/>
      </w:pPr>
      <w:r>
        <w:t xml:space="preserve">3. Buy-side &amp; retail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Top-20 shareholder mapping complete via 13G/13F; 0 Schedule 13D filers — holder base remains passive, not activist.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12 of 20 holders confirmed for post-earnings callbacks; large passive managers (Vanguard, BlackRock) excluded by standard policy, not non-response.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NOBO list request scoped but not yet submitted — recommend authorizing ahead of the annual meeting.</w:t>
      </w:r>
    </w:p>
    <w:p>
      <w:pPr>
        <w:pStyle w:val="Heading1"/>
        <w:spacing w:after="70" w:before="140"/>
      </w:pPr>
      <w:r>
        <w:t xml:space="preserve">4. Market context &amp; valuation vs. peers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Stock ran ~24% into the print on light volume, then surged another 24% on the day — evidence the beat exceeded what was already priced in.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Tested correlation against Marqeta (MQ) and Paysign (PAYS), both reporting the same week: no evidence USIO's stock moved on peer results, including a same-day divergence vs. PAYS.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Cantaloupe (CTLP) acquisition by 365 Retail Markets has closed; IMXI's pending acquisition by Western Union is expected to close this quarter — both flagged for removal from the active comp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USIO</w:t>
            </w:r>
          </w:p>
        </w:tc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 group average*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Market cap</w:t>
            </w:r>
          </w:p>
        </w:tc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~$40M</w:t>
            </w:r>
          </w:p>
        </w:tc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7"/>
                <w:szCs w:val="17"/>
              </w:rPr>
              <w:t xml:space="preserve">~$424M</w:t>
            </w:r>
          </w:p>
        </w:tc>
      </w:tr>
      <w:tr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P/S (TTM)</w:t>
            </w:r>
          </w:p>
        </w:tc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633806"/>
                <w:sz w:val="17"/>
                <w:szCs w:val="17"/>
              </w:rPr>
              <w:t xml:space="preserve">~0.4x</w:t>
            </w:r>
          </w:p>
        </w:tc>
        <w:tc>
          <w:tcPr>
            <w:tcW w:type="dxa" w:w="312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7"/>
                <w:szCs w:val="17"/>
              </w:rPr>
              <w:t xml:space="preserve">~1.6x</w:t>
            </w:r>
          </w:p>
        </w:tc>
      </w:tr>
    </w:tbl>
    <w:p>
      <w:pPr>
        <w:spacing w:after="40"/>
      </w:pPr>
      <w:r>
        <w:rPr>
          <w:i/>
          <w:iCs/>
          <w:color w:val="5F5E5A"/>
          <w:sz w:val="16"/>
          <w:szCs w:val="16"/>
        </w:rPr>
        <w:t xml:space="preserve">*Comp group set by management and sell-side coverage (Ladenburg, H.C. Wainwright): GDOT, IMXI, FINW, PAYS — full detail in Appendix A. USIO trades at roughly a 4x discount to the group average; the group itself spans a wide size range (GDOT alone is ~20x the others combined), which affects how the simple average should be read. Discount partly reflects scale and margin differences — flagged as a standing valuation question for the board, not a fundamentals one.</w:t>
      </w:r>
    </w:p>
    <w:p>
      <w:pPr>
        <w:pStyle w:val="Heading1"/>
        <w:spacing w:after="70" w:before="140"/>
      </w:pPr>
      <w:r>
        <w:t xml:space="preserve">5. Open items for board awareness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5th sell-side analyst has not yet responded to the Q2 model request — follow-up in progress.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Russell Microcap Index status unconfirmed for the June 2026 reconstitution — verification against the primary FTSE Russell list pending.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7"/>
          <w:szCs w:val="17"/>
        </w:rPr>
        <w:t xml:space="preserve">See the accompanying IR Risk Register for full compliance and risk posture; see Appendix A for full comp sheet.</w:t>
      </w:r>
    </w:p>
    <w:p>
      <w:r>
        <w:br w:type="page"/>
      </w:r>
    </w:p>
    <w:p>
      <w:pPr>
        <w:pStyle w:val="Heading1"/>
        <w:spacing w:after="70" w:before="140"/>
      </w:pPr>
      <w:r>
        <w:t xml:space="preserve">Appendix A — Full comparable companies sheet</w:t>
      </w:r>
    </w:p>
    <w:p>
      <w:pPr>
        <w:spacing w:after="100"/>
      </w:pPr>
      <w:r>
        <w:rPr>
          <w:i/>
          <w:iCs/>
          <w:color w:val="5F5E5A"/>
          <w:sz w:val="16"/>
          <w:szCs w:val="16"/>
        </w:rPr>
        <w:t xml:space="preserve">Peer group defined jointly by management and sell-side coverage analysts. Reviewed each quarter; composition changes (e.g. M&amp;A removing a name) are flagged in the main report, Section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Company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Ticker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Market cap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TTM revenue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P/S (TTM)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C2C2A"/>
                <w:sz w:val="17"/>
                <w:szCs w:val="17"/>
              </w:rPr>
              <w:t xml:space="preserve">Usio, Inc.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C2C2A"/>
                <w:sz w:val="17"/>
                <w:szCs w:val="17"/>
              </w:rPr>
              <w:t xml:space="preserve">USIO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~$40M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~$102M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633806"/>
                <w:sz w:val="17"/>
                <w:szCs w:val="17"/>
              </w:rPr>
              <w:t xml:space="preserve">~0.4x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5F5E5A"/>
                <w:sz w:val="17"/>
                <w:szCs w:val="17"/>
              </w:rPr>
              <w:t xml:space="preserve">Subject company</w:t>
            </w:r>
          </w:p>
        </w:tc>
      </w:tr>
      <w:tr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Green Dot Corp.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GDOT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~$720M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~$2,010M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~0.4x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85041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Intl. Money Express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IMXI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~$462M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~$659M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~0.7x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633806"/>
                <w:sz w:val="17"/>
                <w:szCs w:val="17"/>
              </w:rPr>
              <w:t xml:space="preserve">Pending acquisition (Western Union)</w:t>
            </w:r>
          </w:p>
        </w:tc>
      </w:tr>
      <w:tr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FinWise Bancorp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FINW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~$201M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~$150M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~1.3x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85041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Paysign, Inc.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PAYS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~$311M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~$82M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C2C2A"/>
                <w:sz w:val="17"/>
                <w:szCs w:val="17"/>
              </w:rPr>
              <w:t xml:space="preserve">~3.8x</w:t>
            </w:r>
          </w:p>
        </w:tc>
        <w:tc>
          <w:tcPr>
            <w:tcW w:type="dxa" w:w="15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85041"/>
                <w:sz w:val="17"/>
                <w:szCs w:val="17"/>
              </w:rPr>
              <w:t xml:space="preserve">Active</w:t>
            </w:r>
          </w:p>
        </w:tc>
      </w:tr>
    </w:tbl>
    <w:p>
      <w:pPr>
        <w:spacing w:after="0"/>
      </w:pPr>
      <w:r>
        <w:rPr>
          <w:i/>
          <w:iCs/>
          <w:color w:val="5F5E5A"/>
          <w:sz w:val="15"/>
          <w:szCs w:val="15"/>
        </w:rPr>
        <w:t xml:space="preserve">Figures as of mid-June 2026 from public market data; TTM revenue approximated where only quarterly or annualized figures were available. P/S shown rather than EV/EBITDA where comparable EBITDA reporting was inconsistent across the set.</w:t>
      </w:r>
    </w:p>
    <w:p>
      <w:pPr>
        <w:spacing w:before="160"/>
      </w:pPr>
    </w:p>
    <w:p>
      <w:pPr>
        <w:pBdr>
          <w:bottom w:val="single" w:color="D3D1C7" w:sz="4" w:space="3"/>
        </w:pBdr>
        <w:spacing w:after="140"/>
      </w:pPr>
    </w:p>
    <w:p>
      <w:r>
        <w:rPr>
          <w:i/>
          <w:iCs/>
          <w:color w:val="5F5E5A"/>
          <w:sz w:val="14"/>
          <w:szCs w:val="14"/>
        </w:rPr>
        <w:t xml:space="preserve">Prepared by the Investor Relations team from internal workflow outputs and public filings as of June 19, 2026.</w:t>
      </w:r>
    </w:p>
    <w:sectPr>
      <w:headerReference w:type="default" r:id="rId7"/>
      <w:footerReference w:type="default" r:id="rId8"/>
      <w:pgSz w:w="12240" w:h="15840" w:orient="portrait"/>
      <w:pgMar w:top="900" w:right="1296" w:bottom="9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5E5A"/>
        <w:sz w:val="14"/>
        <w:szCs w:val="14"/>
      </w:rPr>
      <w:t xml:space="preserve">IR Quarterly Board Package — Q2 2026</w:t>
    </w:r>
    <w:r>
      <w:rPr>
        <w:color w:val="5F5E5A"/>
        <w:sz w:val="14"/>
        <w:szCs w:val="14"/>
      </w:rPr>
      <w:t xml:space="preserve">	Page </w:t>
    </w:r>
    <w:r>
      <w:rPr>
        <w:color w:val="5F5E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026"/>
      </w:tabs>
    </w:pPr>
    <w:r>
      <w:rPr>
        <w:color w:val="5F5E5A"/>
        <w:sz w:val="14"/>
        <w:szCs w:val="14"/>
      </w:rPr>
      <w:t xml:space="preserve">Usio, Inc. — Board of Directors</w:t>
    </w:r>
    <w:r>
      <w:rPr>
        <w:color w:val="5F5E5A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2026-06-20T00:16:31.244Z</dcterms:created>
  <dcterms:modified xsi:type="dcterms:W3CDTF">2026-06-20T00:16:31.244Z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