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thentication-security"/>
    <w:p>
      <w:pPr>
        <w:pStyle w:val="Heading1"/>
      </w:pPr>
      <w:r>
        <w:t xml:space="preserve">Authentication &amp; Security</w:t>
      </w:r>
    </w:p>
    <w:p>
      <w:pPr>
        <w:pStyle w:val="FirstParagraph"/>
      </w:pPr>
      <w:r>
        <w:t xml:space="preserve">This directory documents the security boundaries and authentication mechanisms engineered for TRAK.</w:t>
      </w:r>
    </w:p>
    <w:bookmarkStart w:id="22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production-security-review.md</w:t>
        </w:r>
      </w:hyperlink>
      <w:r>
        <w:t xml:space="preserve">: Details the migration from insecure prototypes to the current Opaque Token session architecture.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api-security.md</w:t>
        </w:r>
      </w:hyperlink>
      <w:r>
        <w:t xml:space="preserve">: Examines endpoint protection, rate limiting, and data scoping.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api-security.md" TargetMode="External" /><Relationship Type="http://schemas.openxmlformats.org/officeDocument/2006/relationships/hyperlink" Id="rId20" Target="./production-security-re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api-security.md" TargetMode="External" /><Relationship Type="http://schemas.openxmlformats.org/officeDocument/2006/relationships/hyperlink" Id="rId20" Target="./production-security-re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2026-08-23T16:37:45Z</dcterms:created>
  <dcterms:modified xsi:type="dcterms:W3CDTF">2026-08-23T16:37:45Z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