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altime-infrastructure"/>
    <w:p>
      <w:pPr>
        <w:pStyle w:val="Heading1"/>
      </w:pPr>
      <w:r>
        <w:t xml:space="preserve">Realtime Infrastructure</w:t>
      </w:r>
    </w:p>
    <w:p>
      <w:pPr>
        <w:pStyle w:val="FirstParagraph"/>
      </w:pPr>
      <w:r>
        <w:t xml:space="preserve">This directory documents the realtime engineering powering TRAK’s Connect messaging suite.</w:t>
      </w:r>
    </w:p>
    <w:bookmarkStart w:id="21" w:name="documents"/>
    <w:p>
      <w:pPr>
        <w:pStyle w:val="Heading2"/>
      </w:pPr>
      <w:r>
        <w:t xml:space="preserve">Documents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production-readiness.md</w:t>
        </w:r>
      </w:hyperlink>
      <w:r>
        <w:t xml:space="preserve">: Validates the WebSocket server, Redis Pub/Sub scaling, and WebRTC signaling capabilities against production requirements.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production-readin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production-readin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2026-08-23T16:39:01Z</dcterms:created>
  <dcterms:modified xsi:type="dcterms:W3CDTF">2026-08-23T16:39:01Z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