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c8c8c9f018e407e934d5ba7a401e46a842741f9"/>
    <w:p>
      <w:pPr>
        <w:pStyle w:val="Heading1"/>
      </w:pPr>
      <w:r>
        <w:t xml:space="preserve">Phase 05 — UI Redesign &amp; Product Transformation</w:t>
      </w:r>
    </w:p>
    <w:p>
      <w:pPr>
        <w:pStyle w:val="FirstParagraph"/>
      </w:pPr>
      <w:r>
        <w:t xml:space="preserve">This directory documents the ongoing visual overhaul of the TRAK interface.</w:t>
      </w:r>
    </w:p>
    <w:bookmarkStart w:id="20" w:name="the-redesign-story"/>
    <w:p>
      <w:pPr>
        <w:pStyle w:val="Heading2"/>
      </w:pPr>
      <w:r>
        <w:t xml:space="preserve">The Redesign Story</w:t>
      </w:r>
    </w:p>
    <w:p>
      <w:pPr>
        <w:pStyle w:val="FirstParagraph"/>
      </w:pPr>
      <w:r>
        <w:rPr>
          <w:b/>
          <w:bCs/>
        </w:rPr>
        <w:t xml:space="preserve">The Original Interface</w:t>
      </w:r>
      <w:r>
        <w:t xml:space="preserve"> </w:t>
      </w:r>
      <w:r>
        <w:t xml:space="preserve">When TRAK was transitioned from its original prototypes into a functional React application, the styling was a direct 1:1 port. The interface relied heavily on a hardcoded brand palette:</w:t>
      </w:r>
      <w:r>
        <w:t xml:space="preserve"> </w:t>
      </w:r>
      <w:r>
        <w:t xml:space="preserve">“</w:t>
      </w:r>
      <w:r>
        <w:t xml:space="preserve">Aztec</w:t>
      </w:r>
      <w:r>
        <w:t xml:space="preserve">”</w:t>
      </w:r>
      <w:r>
        <w:t xml:space="preserve"> </w:t>
      </w:r>
      <w:r>
        <w:t xml:space="preserve">(a dark green) and</w:t>
      </w:r>
      <w:r>
        <w:t xml:space="preserve"> </w:t>
      </w:r>
      <w:r>
        <w:t xml:space="preserve">“</w:t>
      </w:r>
      <w:r>
        <w:t xml:space="preserve">Saffron</w:t>
      </w:r>
      <w:r>
        <w:t xml:space="preserve">”</w:t>
      </w:r>
      <w:r>
        <w:t xml:space="preserve"> </w:t>
      </w:r>
      <w:r>
        <w:t xml:space="preserve">(yellow). Components were built using strict Tailwind utility classes like</w:t>
      </w:r>
      <w:r>
        <w:t xml:space="preserve"> </w:t>
      </w:r>
      <w:r>
        <w:rPr>
          <w:rStyle w:val="VerbatimChar"/>
        </w:rPr>
        <w:t xml:space="preserve">bg-aztec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text-ink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Problems Discovered</w:t>
      </w:r>
      <w:r>
        <w:t xml:space="preserve"> </w:t>
      </w:r>
      <w:r>
        <w:t xml:space="preserve">As the application matured into a production-ready system, this hardcoded approach became a liability. It was impossible to implement modern features like Dark Mode because the text and background colors were strictly defined. Furthermore, the dashboard lacked visual hierarchy, and the mobile navigation was cramped.</w:t>
      </w:r>
    </w:p>
    <w:p>
      <w:pPr>
        <w:pStyle w:val="BodyText"/>
      </w:pPr>
      <w:r>
        <w:rPr>
          <w:b/>
          <w:bCs/>
        </w:rPr>
        <w:t xml:space="preserve">The Decision to Redesign</w:t>
      </w:r>
      <w:r>
        <w:t xml:space="preserve"> </w:t>
      </w:r>
      <w:r>
        <w:t xml:space="preserve">To solve this, development branched off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ui-redesign</w:t>
      </w:r>
      <w:r>
        <w:t xml:space="preserve">. The goal was not to change the functionality of TRAK, but to transform its visual architecture into a scalable, semantic design system.</w:t>
      </w:r>
    </w:p>
    <w:p>
      <w:pPr>
        <w:pStyle w:val="BodyText"/>
      </w:pPr>
      <w:r>
        <w:rPr>
          <w:b/>
          <w:bCs/>
        </w:rPr>
        <w:t xml:space="preserve">The Design Token Migration</w:t>
      </w:r>
      <w:r>
        <w:t xml:space="preserve"> </w:t>
      </w:r>
      <w:r>
        <w:t xml:space="preserve">The first major step was abandoning the brand colors in component code.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were completely rewritten. Instead of asking for</w:t>
      </w:r>
      <w:r>
        <w:t xml:space="preserve"> </w:t>
      </w:r>
      <w:r>
        <w:rPr>
          <w:rStyle w:val="VerbatimChar"/>
        </w:rPr>
        <w:t xml:space="preserve">bg-aztec</w:t>
      </w:r>
      <w:r>
        <w:t xml:space="preserve">, components now ask for</w:t>
      </w:r>
      <w:r>
        <w:t xml:space="preserve"> </w:t>
      </w:r>
      <w:r>
        <w:rPr>
          <w:rStyle w:val="VerbatimChar"/>
        </w:rPr>
        <w:t xml:space="preserve">bg-surface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bg-primary</w:t>
      </w:r>
      <w:r>
        <w:t xml:space="preserve">. The CSS root determines what color</w:t>
      </w:r>
      <w:r>
        <w:t xml:space="preserve"> </w:t>
      </w:r>
      <w:r>
        <w:t xml:space="preserve">“</w:t>
      </w:r>
      <w:r>
        <w:t xml:space="preserve">surface</w:t>
      </w:r>
      <w:r>
        <w:t xml:space="preserve">”</w:t>
      </w:r>
      <w:r>
        <w:t xml:space="preserve"> </w:t>
      </w:r>
      <w:r>
        <w:t xml:space="preserve">actually is based on the active theme.</w:t>
      </w:r>
    </w:p>
    <w:p>
      <w:pPr>
        <w:pStyle w:val="BodyText"/>
      </w:pPr>
      <w:r>
        <w:rPr>
          <w:b/>
          <w:bCs/>
        </w:rPr>
        <w:t xml:space="preserve">Theme Architecture</w:t>
      </w:r>
      <w:r>
        <w:t xml:space="preserve"> </w:t>
      </w:r>
      <w:r>
        <w:t xml:space="preserve">With semantic tokens in place, a</w:t>
      </w:r>
      <w:r>
        <w:t xml:space="preserve"> </w:t>
      </w:r>
      <w:r>
        <w:rPr>
          <w:rStyle w:val="VerbatimChar"/>
        </w:rPr>
        <w:t xml:space="preserve">ThemeContext.tsx</w:t>
      </w:r>
      <w:r>
        <w:t xml:space="preserve"> </w:t>
      </w:r>
      <w:r>
        <w:t xml:space="preserve">was engineered to allow users to toggle between Light, Dark, and System modes, saving their preference to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Refactoring the Experience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Dashboard</w:t>
      </w:r>
      <w:r>
        <w:t xml:space="preserve">: The flat grid of identical cards was replaced with an asymmetrical hierarchy, highlighting key metrics.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Navigation</w:t>
      </w:r>
      <w:r>
        <w:t xml:space="preserve">: The mobile bottom bar was redesigned to feature a prominent, SVG-driven central</w:t>
      </w:r>
      <w:r>
        <w:t xml:space="preserve"> </w:t>
      </w:r>
      <w:r>
        <w:t xml:space="preserve">“</w:t>
      </w:r>
      <w:r>
        <w:t xml:space="preserve">floating action button</w:t>
      </w:r>
      <w:r>
        <w:t xml:space="preserve">”</w:t>
      </w:r>
      <w:r>
        <w:t xml:space="preserve"> </w:t>
      </w:r>
      <w:r>
        <w:t xml:space="preserve">(FAB) for activity creation.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Connect</w:t>
      </w:r>
      <w:r>
        <w:t xml:space="preserve">: The monolithic messaging component is currently being decoupled into smaller, theme-aware components.</w:t>
      </w:r>
    </w:p>
    <w:p>
      <w:pPr>
        <w:pStyle w:val="BodyText"/>
      </w:pPr>
      <w:r>
        <w:rPr>
          <w:b/>
          <w:bCs/>
        </w:rPr>
        <w:t xml:space="preserve">Current State</w:t>
      </w:r>
      <w:r>
        <w:t xml:space="preserve"> </w:t>
      </w:r>
      <w:r>
        <w:t xml:space="preserve">The redesign is actively</w:t>
      </w:r>
      <w:r>
        <w:t xml:space="preserve"> </w:t>
      </w:r>
      <w:r>
        <w:rPr>
          <w:b/>
          <w:bCs/>
        </w:rPr>
        <w:t xml:space="preserve">In Progress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sync-main</w:t>
      </w:r>
      <w:r>
        <w:t xml:space="preserve"> </w:t>
      </w:r>
      <w:r>
        <w:t xml:space="preserve">branch. The foundational CSS variables and Theme Context are functional, but many individual components across the application are still awaiting their semantic token updates.</w:t>
      </w:r>
    </w:p>
    <w:p>
      <w:r>
        <w:pict>
          <v:rect style="width:0;height:1.5pt" o:hralign="center" o:hrstd="t" o:hr="t"/>
        </w:pict>
      </w:r>
    </w:p>
    <w:bookmarkEnd w:id="20"/>
    <w:bookmarkStart w:id="30" w:name="documents-in-this-section"/>
    <w:p>
      <w:pPr>
        <w:pStyle w:val="Heading2"/>
      </w:pPr>
      <w:r>
        <w:t xml:space="preserve">Documents in this Section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  <w:b/>
            <w:bCs/>
          </w:rPr>
          <w:t xml:space="preserve">original-ui-audit.md</w:t>
        </w:r>
      </w:hyperlink>
      <w:r>
        <w:t xml:space="preserve">: The baseline interface before redesign.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  <w:b/>
            <w:bCs/>
          </w:rPr>
          <w:t xml:space="preserve">redesign-objectives.md</w:t>
        </w:r>
      </w:hyperlink>
      <w:r>
        <w:t xml:space="preserve">: Why the redesign was necessary.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  <w:b/>
            <w:bCs/>
          </w:rPr>
          <w:t xml:space="preserve">design-system.md</w:t>
        </w:r>
      </w:hyperlink>
      <w:r>
        <w:t xml:space="preserve">: The transition to semantic tokens.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  <w:b/>
            <w:bCs/>
          </w:rPr>
          <w:t xml:space="preserve">theme-system.md</w:t>
        </w:r>
      </w:hyperlink>
      <w:r>
        <w:t xml:space="preserve">: The architecture of Light/Dark mode.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  <w:b/>
            <w:bCs/>
          </w:rPr>
          <w:t xml:space="preserve">dashboard-redesign.md</w:t>
        </w:r>
      </w:hyperlink>
      <w:r>
        <w:t xml:space="preserve">: Changes to the KPI interfaces.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  <w:b/>
            <w:bCs/>
          </w:rPr>
          <w:t xml:space="preserve">navigation-redesign.md</w:t>
        </w:r>
      </w:hyperlink>
      <w:r>
        <w:t xml:space="preserve">: Changes to desktop and mobile routing UI.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  <w:b/>
            <w:bCs/>
          </w:rPr>
          <w:t xml:space="preserve">connect-redesign.md</w:t>
        </w:r>
      </w:hyperlink>
      <w:r>
        <w:t xml:space="preserve">: The decoupling and restyling of the messaging suite.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  <w:b/>
            <w:bCs/>
          </w:rPr>
          <w:t xml:space="preserve">git-history.md</w:t>
        </w:r>
      </w:hyperlink>
      <w:r>
        <w:t xml:space="preserve">: A chronological reconstruction of the redesign commits.</w:t>
      </w:r>
    </w:p>
    <w:p>
      <w:pPr>
        <w:pStyle w:val="Compact"/>
        <w:numPr>
          <w:ilvl w:val="0"/>
          <w:numId w:val="1001"/>
        </w:numPr>
      </w:pPr>
      <w:hyperlink r:id="rId29">
        <w:r>
          <w:rPr>
            <w:rStyle w:val="Hyperlink"/>
            <w:b/>
            <w:bCs/>
          </w:rPr>
          <w:t xml:space="preserve">before-vs-after.md</w:t>
        </w:r>
      </w:hyperlink>
      <w:r>
        <w:t xml:space="preserve">: A summary comparison matrix.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./before-vs-after.md" TargetMode="External" /><Relationship Type="http://schemas.openxmlformats.org/officeDocument/2006/relationships/hyperlink" Id="rId27" Target="./connect-redesign.md" TargetMode="External" /><Relationship Type="http://schemas.openxmlformats.org/officeDocument/2006/relationships/hyperlink" Id="rId25" Target="./dashboard-redesign.md" TargetMode="External" /><Relationship Type="http://schemas.openxmlformats.org/officeDocument/2006/relationships/hyperlink" Id="rId23" Target="./design-system.md" TargetMode="External" /><Relationship Type="http://schemas.openxmlformats.org/officeDocument/2006/relationships/hyperlink" Id="rId28" Target="./git-history.md" TargetMode="External" /><Relationship Type="http://schemas.openxmlformats.org/officeDocument/2006/relationships/hyperlink" Id="rId26" Target="./navigation-redesign.md" TargetMode="External" /><Relationship Type="http://schemas.openxmlformats.org/officeDocument/2006/relationships/hyperlink" Id="rId21" Target="./original-ui-audit.md" TargetMode="External" /><Relationship Type="http://schemas.openxmlformats.org/officeDocument/2006/relationships/hyperlink" Id="rId22" Target="./redesign-objectives.md" TargetMode="External" /><Relationship Type="http://schemas.openxmlformats.org/officeDocument/2006/relationships/hyperlink" Id="rId24" Target="./theme-system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./before-vs-after.md" TargetMode="External" /><Relationship Type="http://schemas.openxmlformats.org/officeDocument/2006/relationships/hyperlink" Id="rId27" Target="./connect-redesign.md" TargetMode="External" /><Relationship Type="http://schemas.openxmlformats.org/officeDocument/2006/relationships/hyperlink" Id="rId25" Target="./dashboard-redesign.md" TargetMode="External" /><Relationship Type="http://schemas.openxmlformats.org/officeDocument/2006/relationships/hyperlink" Id="rId23" Target="./design-system.md" TargetMode="External" /><Relationship Type="http://schemas.openxmlformats.org/officeDocument/2006/relationships/hyperlink" Id="rId28" Target="./git-history.md" TargetMode="External" /><Relationship Type="http://schemas.openxmlformats.org/officeDocument/2006/relationships/hyperlink" Id="rId26" Target="./navigation-redesign.md" TargetMode="External" /><Relationship Type="http://schemas.openxmlformats.org/officeDocument/2006/relationships/hyperlink" Id="rId21" Target="./original-ui-audit.md" TargetMode="External" /><Relationship Type="http://schemas.openxmlformats.org/officeDocument/2006/relationships/hyperlink" Id="rId22" Target="./redesign-objectives.md" TargetMode="External" /><Relationship Type="http://schemas.openxmlformats.org/officeDocument/2006/relationships/hyperlink" Id="rId24" Target="./theme-system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2026-08-23T16:38:39Z</dcterms:created>
  <dcterms:modified xsi:type="dcterms:W3CDTF">2026-08-23T16:38:39Z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