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efore-vs-after-ui-redesign"/>
    <w:p>
      <w:pPr>
        <w:pStyle w:val="Heading1"/>
      </w:pPr>
      <w:r>
        <w:t xml:space="preserve">Before vs After: UI Redesign</w:t>
      </w:r>
    </w:p>
    <w:p>
      <w:pPr>
        <w:pStyle w:val="FirstParagraph"/>
      </w:pPr>
      <w:r>
        <w:t xml:space="preserve">This matrix summarizes the state of the application before the</w:t>
      </w:r>
      <w:r>
        <w:t xml:space="preserve"> </w:t>
      </w:r>
      <w:r>
        <w:rPr>
          <w:rStyle w:val="VerbatimChar"/>
        </w:rPr>
        <w:t xml:space="preserve">ui-redesign</w:t>
      </w:r>
      <w:r>
        <w:t xml:space="preserve"> </w:t>
      </w:r>
      <w:r>
        <w:t xml:space="preserve">branch, compared to the current work staged on</w:t>
      </w:r>
      <w:r>
        <w:t xml:space="preserve"> </w:t>
      </w:r>
      <w:r>
        <w:rPr>
          <w:rStyle w:val="VerbatimChar"/>
        </w:rPr>
        <w:t xml:space="preserve">sync-main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(Phase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(Redesign Phase)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 utility classes (</w:t>
            </w:r>
            <w:r>
              <w:rPr>
                <w:rStyle w:val="VerbatimChar"/>
              </w:rPr>
              <w:t xml:space="preserve">bg-aztec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text-ink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Tokens (</w:t>
            </w:r>
            <w:r>
              <w:rPr>
                <w:rStyle w:val="VerbatimChar"/>
              </w:rPr>
              <w:t xml:space="preserve">bg-surface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text-foreground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 to Light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User-controlled Context (Light/Dark/System)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Cramped flat bottom bar (</w:t>
            </w:r>
            <w:r>
              <w:rPr>
                <w:rStyle w:val="VerbatimChar"/>
              </w:rPr>
              <w:t xml:space="preserve">MobileNav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SVG</w:t>
            </w:r>
            <w:r>
              <w:t xml:space="preserve"> </w:t>
            </w:r>
            <w:r>
              <w:t xml:space="preserve">“</w:t>
            </w:r>
            <w:r>
              <w:t xml:space="preserve">Scoop</w:t>
            </w:r>
            <w:r>
              <w:t xml:space="preserve">”</w:t>
            </w:r>
            <w:r>
              <w:t xml:space="preserve"> </w:t>
            </w:r>
            <w:r>
              <w:t xml:space="preserve">with central FAB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grid of identical KPI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Asymmetrical grid with strong visual 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 status colors (</w:t>
            </w:r>
            <w:r>
              <w:rPr>
                <w:rStyle w:val="VerbatimChar"/>
              </w:rPr>
              <w:t xml:space="preserve">bg-warning-bg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status tokens (</w:t>
            </w:r>
            <w:r>
              <w:rPr>
                <w:rStyle w:val="VerbatimChar"/>
              </w:rPr>
              <w:t xml:space="preserve">bg-warning-surface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Monolithic 600-line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Decoupled components (</w:t>
            </w:r>
            <w:r>
              <w:rPr>
                <w:rStyle w:val="VerbatimChar"/>
              </w:rPr>
              <w:t xml:space="preserve">ConversationList</w:t>
            </w:r>
            <w:r>
              <w:t xml:space="preserve">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placeholder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</w:t>
            </w:r>
            <w:r>
              <w:t xml:space="preserve"> </w:t>
            </w:r>
            <w:r>
              <w:rPr>
                <w:rStyle w:val="VerbatimChar"/>
              </w:rPr>
              <w:t xml:space="preserve">ThemeSettings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DefaultPasswordForm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migrated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Squashed</w:t>
            </w:r>
            <w:r>
              <w:t xml:space="preserve">”</w:t>
            </w:r>
            <w:r>
              <w:t xml:space="preserve"> </w:t>
            </w:r>
            <w:r>
              <w:t xml:space="preserve">desktop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Purpose-built mobile ergonomics and layouts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Brittle brand-locked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Theme-agnostic semantic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Accessibility/Focus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Inconsistent focus 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Standardized</w:t>
            </w:r>
            <w:r>
              <w:t xml:space="preserve"> </w:t>
            </w:r>
            <w:r>
              <w:rPr>
                <w:rStyle w:val="VerbatimChar"/>
              </w:rPr>
              <w:t xml:space="preserve">focus:ring-primary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migrated</w:t>
            </w:r>
          </w:p>
        </w:tc>
      </w:tr>
    </w:tbl>
    <w:bookmarkStart w:id="20" w:name="status-definitions"/>
    <w:p>
      <w:pPr>
        <w:pStyle w:val="Heading2"/>
      </w:pPr>
      <w:r>
        <w:t xml:space="preserve">Status Definitions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Implemented</w:t>
      </w:r>
      <w:r>
        <w:t xml:space="preserve">: The core architectural work and component refactoring are complete in the</w:t>
      </w:r>
      <w:r>
        <w:t xml:space="preserve"> </w:t>
      </w:r>
      <w:r>
        <w:rPr>
          <w:rStyle w:val="VerbatimChar"/>
        </w:rPr>
        <w:t xml:space="preserve">sync-main</w:t>
      </w:r>
      <w:r>
        <w:t xml:space="preserve"> </w:t>
      </w:r>
      <w:r>
        <w:t xml:space="preserve">branch.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 progress</w:t>
      </w:r>
      <w:r>
        <w:t xml:space="preserve">: Active development is occurring on these items in the uncommitted working tree.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Partially migrated</w:t>
      </w:r>
      <w:r>
        <w:t xml:space="preserve">: The architecture exists, but not all components across the application have been updated to utilize it.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2026-08-23T16:38:27Z</dcterms:created>
  <dcterms:modified xsi:type="dcterms:W3CDTF">2026-08-23T16:38:27Z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