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esting"/>
    <w:p>
      <w:pPr>
        <w:pStyle w:val="Heading1"/>
      </w:pPr>
      <w:r>
        <w:t xml:space="preserve">Testing</w:t>
      </w:r>
    </w:p>
    <w:p>
      <w:pPr>
        <w:pStyle w:val="FirstParagraph"/>
      </w:pPr>
      <w:r>
        <w:t xml:space="preserve">This directory documents the testing strategies and validation frameworks used to ensure TRAK’s reliability.</w:t>
      </w:r>
    </w:p>
    <w:bookmarkStart w:id="21" w:name="documents"/>
    <w:p>
      <w:pPr>
        <w:pStyle w:val="Heading2"/>
      </w:pPr>
      <w:r>
        <w:t xml:space="preserve">Documents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production-validation.md</w:t>
        </w:r>
      </w:hyperlink>
      <w:r>
        <w:t xml:space="preserve">: Details the Vitest unit testing suite, Playwright E2E configuration, and their current execution status.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production-valid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production-valid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2026-08-23T16:37:56Z</dcterms:created>
  <dcterms:modified xsi:type="dcterms:W3CDTF">2026-08-23T16:37:56Z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