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database-production-readiness"/>
    <w:p>
      <w:pPr>
        <w:pStyle w:val="Heading1"/>
      </w:pPr>
      <w:r>
        <w:t xml:space="preserve">Database Production Readiness</w:t>
      </w:r>
    </w:p>
    <w:p>
      <w:pPr>
        <w:pStyle w:val="FirstParagraph"/>
      </w:pPr>
      <w:r>
        <w:t xml:space="preserve">This document evaluates the maturity of TRAK’s data layer, tracking its transition from a mock prototype to a production-grade relational database.</w:t>
      </w:r>
    </w:p>
    <w:bookmarkStart w:id="20" w:name="historical-state"/>
    <w:p>
      <w:pPr>
        <w:pStyle w:val="Heading2"/>
      </w:pPr>
      <w:r>
        <w:t xml:space="preserve">Historical State</w:t>
      </w:r>
    </w:p>
    <w:p>
      <w:pPr>
        <w:pStyle w:val="FirstParagraph"/>
      </w:pPr>
      <w:r>
        <w:t xml:space="preserve">Before the hardening phase, the application lacked a true database. The entire state of the application was stored in a single local JSON file (</w:t>
      </w:r>
      <w:r>
        <w:rPr>
          <w:rStyle w:val="VerbatimChar"/>
        </w:rPr>
        <w:t xml:space="preserve">.data/trak-db.json</w:t>
      </w:r>
      <w:r>
        <w:t xml:space="preserve">) managed by a custom</w:t>
      </w:r>
      <w:r>
        <w:t xml:space="preserve"> </w:t>
      </w:r>
      <w:r>
        <w:rPr>
          <w:rStyle w:val="VerbatimChar"/>
        </w:rPr>
        <w:t xml:space="preserve">store.ts</w:t>
      </w:r>
      <w:r>
        <w:t xml:space="preserve"> </w:t>
      </w:r>
      <w:r>
        <w:t xml:space="preserve">file holding a process-level mutex.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Risks</w:t>
      </w:r>
      <w:r>
        <w:t xml:space="preserve">: Data corruption upon concurrent writes, zero scalability for multi-instance deployments (e.g., Vercel or clustered Node), and a complete lack of ACID transactional integrity.</w:t>
      </w:r>
    </w:p>
    <w:bookmarkEnd w:id="20"/>
    <w:bookmarkStart w:id="21" w:name="transition-to-postgresql"/>
    <w:p>
      <w:pPr>
        <w:pStyle w:val="Heading2"/>
      </w:pPr>
      <w:r>
        <w:t xml:space="preserve">Transition to PostgreSQL</w:t>
      </w:r>
    </w:p>
    <w:p>
      <w:pPr>
        <w:pStyle w:val="FirstParagraph"/>
      </w:pPr>
      <w:r>
        <w:t xml:space="preserve">The production audit mandated an immediate halt to JSON-based persistence.</w:t>
      </w:r>
      <w:r>
        <w:t xml:space="preserve"> </w:t>
      </w:r>
      <w:r>
        <w:t xml:space="preserve">* The system was migrated to</w:t>
      </w:r>
      <w:r>
        <w:t xml:space="preserve"> </w:t>
      </w:r>
      <w:r>
        <w:rPr>
          <w:b/>
          <w:bCs/>
        </w:rPr>
        <w:t xml:space="preserve">PostgreSQL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Prisma ORM</w:t>
      </w:r>
      <w:r>
        <w:t xml:space="preserve"> </w:t>
      </w:r>
      <w:r>
        <w:t xml:space="preserve">was implemented to manage the schema and handle type-safe database queries.</w:t>
      </w:r>
      <w:r>
        <w:t xml:space="preserve"> </w:t>
      </w:r>
      <w:r>
        <w:t xml:space="preserve">* The original unstructured JSON data was mapped into strict relational models (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Activity</w:t>
      </w:r>
      <w:r>
        <w:t xml:space="preserve">,</w:t>
      </w:r>
      <w:r>
        <w:t xml:space="preserve"> </w:t>
      </w:r>
      <w:r>
        <w:rPr>
          <w:rStyle w:val="VerbatimChar"/>
        </w:rPr>
        <w:t xml:space="preserve">DailyLog</w:t>
      </w:r>
      <w:r>
        <w:t xml:space="preserve">,</w:t>
      </w:r>
      <w:r>
        <w:t xml:space="preserve"> </w:t>
      </w:r>
      <w:r>
        <w:rPr>
          <w:rStyle w:val="VerbatimChar"/>
        </w:rPr>
        <w:t xml:space="preserve">DirectMessage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) featuring UUID primary keys, foreign key constraints, and cascading deletes where appropriate.</w:t>
      </w:r>
    </w:p>
    <w:bookmarkEnd w:id="21"/>
    <w:bookmarkStart w:id="24" w:name="current-database-architecture"/>
    <w:p>
      <w:pPr>
        <w:pStyle w:val="Heading2"/>
      </w:pPr>
      <w:r>
        <w:t xml:space="preserve">Current Database Architecture</w:t>
      </w:r>
    </w:p>
    <w:bookmarkStart w:id="22" w:name="migrations"/>
    <w:p>
      <w:pPr>
        <w:pStyle w:val="Heading3"/>
      </w:pPr>
      <w:r>
        <w:t xml:space="preserve">Migrations</w:t>
      </w:r>
    </w:p>
    <w:p>
      <w:pPr>
        <w:pStyle w:val="FirstParagraph"/>
      </w:pPr>
      <w:r>
        <w:t xml:space="preserve">Prisma migrations are actively utilized. The</w:t>
      </w:r>
      <w:r>
        <w:t xml:space="preserve"> </w:t>
      </w:r>
      <w:r>
        <w:rPr>
          <w:rStyle w:val="VerbatimChar"/>
        </w:rPr>
        <w:t xml:space="preserve">prisma/migrations/</w:t>
      </w:r>
      <w:r>
        <w:t xml:space="preserve"> </w:t>
      </w:r>
      <w:r>
        <w:t xml:space="preserve">directory contains SQL files representing iterative changes to the database structure (e.g., adding Audit events, Unit settings).</w:t>
      </w:r>
      <w:r>
        <w:t xml:space="preserve"> </w:t>
      </w:r>
      <w:r>
        <w:t xml:space="preserve">* The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build script automatically runs</w:t>
      </w:r>
      <w:r>
        <w:t xml:space="preserve"> </w:t>
      </w:r>
      <w:r>
        <w:rPr>
          <w:rStyle w:val="VerbatimChar"/>
        </w:rPr>
        <w:t xml:space="preserve">prisma migrate deploy</w:t>
      </w:r>
      <w:r>
        <w:t xml:space="preserve">, ensuring the production database schema is synchronized before the application starts.</w:t>
      </w:r>
    </w:p>
    <w:bookmarkEnd w:id="22"/>
    <w:bookmarkStart w:id="23" w:name="seeding-safety"/>
    <w:p>
      <w:pPr>
        <w:pStyle w:val="Heading3"/>
      </w:pPr>
      <w:r>
        <w:t xml:space="preserve">Seeding Safety</w:t>
      </w:r>
    </w:p>
    <w:p>
      <w:pPr>
        <w:pStyle w:val="FirstParagraph"/>
      </w:pPr>
      <w:r>
        <w:t xml:space="preserve">The database seed script (</w:t>
      </w:r>
      <w:r>
        <w:rPr>
          <w:rStyle w:val="VerbatimChar"/>
        </w:rPr>
        <w:t xml:space="preserve">prisma/seed.ts</w:t>
      </w:r>
      <w:r>
        <w:t xml:space="preserve">) was entirely rewritten for production safety.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Historical Risk</w:t>
      </w:r>
      <w:r>
        <w:t xml:space="preserve">: Seeding scripts often accidentally push demo users or default passwords into production environments.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Current Safeguards</w:t>
      </w:r>
      <w:r>
        <w:t xml:space="preserve">: The seed script explicitly checks</w:t>
      </w:r>
      <w:r>
        <w:t xml:space="preserve"> </w:t>
      </w:r>
      <w:r>
        <w:rPr>
          <w:rStyle w:val="VerbatimChar"/>
        </w:rPr>
        <w:t xml:space="preserve">process.env.NODE_ENV</w:t>
      </w:r>
      <w:r>
        <w:t xml:space="preserve">. If it detects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, it strictly refuses to seed any users if</w:t>
      </w:r>
      <w:r>
        <w:t xml:space="preserve"> </w:t>
      </w:r>
      <w:r>
        <w:rPr>
          <w:rStyle w:val="VerbatimChar"/>
        </w:rPr>
        <w:t xml:space="preserve">ENABLE_DEV_LOGIN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SEED_DEMO_USERS</w:t>
      </w:r>
      <w:r>
        <w:t xml:space="preserve">, or</w:t>
      </w:r>
      <w:r>
        <w:t xml:space="preserve"> </w:t>
      </w:r>
      <w:r>
        <w:rPr>
          <w:rStyle w:val="VerbatimChar"/>
        </w:rPr>
        <w:t xml:space="preserve">DEV_SEED_PASSWORD</w:t>
      </w:r>
      <w:r>
        <w:t xml:space="preserve"> </w:t>
      </w:r>
      <w:r>
        <w:t xml:space="preserve">are active. It enforces a</w:t>
      </w:r>
      <w:r>
        <w:t xml:space="preserve"> </w:t>
      </w:r>
      <w:r>
        <w:t xml:space="preserve">“</w:t>
      </w:r>
      <w:r>
        <w:t xml:space="preserve">fail closed</w:t>
      </w:r>
      <w:r>
        <w:t xml:space="preserve">”</w:t>
      </w:r>
      <w:r>
        <w:t xml:space="preserve"> </w:t>
      </w:r>
      <w:r>
        <w:t xml:space="preserve">policy, stating: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Production must not seed demo/default users. Provision real members via the app after deploy.</w:t>
      </w:r>
      <w:r>
        <w:rPr>
          <w:i/>
          <w:iCs/>
        </w:rPr>
        <w:t xml:space="preserve">”</w:t>
      </w:r>
    </w:p>
    <w:bookmarkEnd w:id="23"/>
    <w:bookmarkEnd w:id="24"/>
    <w:bookmarkStart w:id="25" w:name="readiness-assessment"/>
    <w:p>
      <w:pPr>
        <w:pStyle w:val="Heading2"/>
      </w:pPr>
      <w:r>
        <w:t xml:space="preserve">Readiness Assessment</w:t>
      </w:r>
    </w:p>
    <w:p>
      <w:pPr>
        <w:pStyle w:val="FirstParagraph"/>
      </w:pPr>
      <w:r>
        <w:t xml:space="preserve">The database architecture itself (PostgreSQL + Prisma) is production-ready. The migration strategy and seeding safety rails are well-engineered.</w:t>
      </w:r>
    </w:p>
    <w:p>
      <w:pPr>
        <w:pStyle w:val="BodyText"/>
      </w:pPr>
      <w:r>
        <w:rPr>
          <w:b/>
          <w:bCs/>
        </w:rPr>
        <w:t xml:space="preserve">Remaining Risk</w:t>
      </w:r>
      <w:r>
        <w:t xml:space="preserve">: While the architecture is sound, the specific SQL migrations must be tested against a Staging database that mirrors Production to ensure no data loss occurs during complex schema transitions.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2026-08-23T16:38:08Z</dcterms:created>
  <dcterms:modified xsi:type="dcterms:W3CDTF">2026-08-23T16:38:08Z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