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rak-project-history"/>
    <w:p>
      <w:pPr>
        <w:pStyle w:val="Heading1"/>
      </w:pPr>
      <w:r>
        <w:t xml:space="preserve">TRAK Project History</w:t>
      </w:r>
    </w:p>
    <w:p>
      <w:pPr>
        <w:pStyle w:val="FirstParagraph"/>
      </w:pPr>
      <w:r>
        <w:t xml:space="preserve">This document serves as the canonical chronological narrative of the TRAK project, tracing its evolution from a rudimentary prototype into a mature, production-ready web application.</w:t>
      </w:r>
    </w:p>
    <w:bookmarkStart w:id="20" w:name="the-beginning"/>
    <w:p>
      <w:pPr>
        <w:pStyle w:val="Heading2"/>
      </w:pPr>
      <w:r>
        <w:t xml:space="preserve">1. The Beginning</w:t>
      </w:r>
    </w:p>
    <w:p>
      <w:pPr>
        <w:pStyle w:val="FirstParagraph"/>
      </w:pPr>
      <w:r>
        <w:t xml:space="preserve">The project began with a single artifact:</w:t>
      </w:r>
      <w:r>
        <w:t xml:space="preserve"> </w:t>
      </w:r>
      <w:r>
        <w:rPr>
          <w:rStyle w:val="VerbatimChar"/>
        </w:rPr>
        <w:t xml:space="preserve">trakprototype.txt</w:t>
      </w:r>
      <w:r>
        <w:t xml:space="preserve">. This original specification outlined a vision for an accountability and tracking system used by government Digital Learning Units (DLUs). It described a lightweight interface featuring dashboards, activity tracking, and direct messaging, utilizing a strict two-color design scheme (</w:t>
      </w:r>
      <w:r>
        <w:t xml:space="preserve">“</w:t>
      </w:r>
      <w:r>
        <w:t xml:space="preserve">Aztec</w:t>
      </w:r>
      <w:r>
        <w:t xml:space="preserve">”</w:t>
      </w:r>
      <w:r>
        <w:t xml:space="preserve"> </w:t>
      </w:r>
      <w:r>
        <w:t xml:space="preserve">green and</w:t>
      </w:r>
      <w:r>
        <w:t xml:space="preserve"> </w:t>
      </w:r>
      <w:r>
        <w:t xml:space="preserve">“</w:t>
      </w:r>
      <w:r>
        <w:t xml:space="preserve">Saffron</w:t>
      </w:r>
      <w:r>
        <w:t xml:space="preserve">”</w:t>
      </w:r>
      <w:r>
        <w:t xml:space="preserve"> </w:t>
      </w:r>
      <w:r>
        <w:t xml:space="preserve">yellow).</w:t>
      </w:r>
    </w:p>
    <w:bookmarkEnd w:id="20"/>
    <w:bookmarkStart w:id="21" w:name="first-implementation"/>
    <w:p>
      <w:pPr>
        <w:pStyle w:val="Heading2"/>
      </w:pPr>
      <w:r>
        <w:t xml:space="preserve">2. First Implementation</w:t>
      </w:r>
    </w:p>
    <w:p>
      <w:pPr>
        <w:pStyle w:val="FirstParagraph"/>
      </w:pPr>
      <w:r>
        <w:t xml:space="preserve">The initial implementation translated this raw prototype text into a single-page application (SPA). To build a foundation capable of supporting future growth, this SPA was systematically decomposed into a structured React application using Next.js. The interface mirrored the prototype’s hardcoded utility classes, and data was stored entirely in a local, mutex-locked JSON file (</w:t>
      </w:r>
      <w:r>
        <w:rPr>
          <w:rStyle w:val="VerbatimChar"/>
        </w:rPr>
        <w:t xml:space="preserve">.data/trak-db.json</w:t>
      </w:r>
      <w:r>
        <w:t xml:space="preserve">) to simulate persistence.</w:t>
      </w:r>
    </w:p>
    <w:bookmarkEnd w:id="21"/>
    <w:bookmarkStart w:id="22" w:name="the-second-prototype"/>
    <w:p>
      <w:pPr>
        <w:pStyle w:val="Heading2"/>
      </w:pPr>
      <w:r>
        <w:t xml:space="preserve">3. The Second Prototype</w:t>
      </w:r>
    </w:p>
    <w:p>
      <w:pPr>
        <w:pStyle w:val="FirstParagraph"/>
      </w:pPr>
      <w:r>
        <w:t xml:space="preserve">During early development, a revised specification arrived:</w:t>
      </w:r>
      <w:r>
        <w:t xml:space="preserve"> </w:t>
      </w:r>
      <w:r>
        <w:rPr>
          <w:rStyle w:val="VerbatimChar"/>
        </w:rPr>
        <w:t xml:space="preserve">trakprototype (3).txt</w:t>
      </w:r>
      <w:r>
        <w:t xml:space="preserve">. This document drastically expanded the project’s scope, introducing new concepts such as Community discussions, Broadcasts, Contacts, and complex Call/Voice workflows.</w:t>
      </w:r>
    </w:p>
    <w:bookmarkEnd w:id="22"/>
    <w:bookmarkStart w:id="23" w:name="integration-expansion"/>
    <w:p>
      <w:pPr>
        <w:pStyle w:val="Heading2"/>
      </w:pPr>
      <w:r>
        <w:t xml:space="preserve">4. Integration &amp; Expansion</w:t>
      </w:r>
    </w:p>
    <w:p>
      <w:pPr>
        <w:pStyle w:val="FirstParagraph"/>
      </w:pPr>
      <w:r>
        <w:t xml:space="preserve">Instead of discarding the first implementation and restarting, the new requirements from Prototype 2 were meticulously integrated into the existing Next.js architecture. The application grew to encompass these features, mapping the new Community and Messaging workflows into a consolidated</w:t>
      </w:r>
      <w:r>
        <w:t xml:space="preserve"> </w:t>
      </w:r>
      <w:r>
        <w:t xml:space="preserve">“</w:t>
      </w:r>
      <w:r>
        <w:t xml:space="preserve">Connect</w:t>
      </w:r>
      <w:r>
        <w:t xml:space="preserve">”</w:t>
      </w:r>
      <w:r>
        <w:t xml:space="preserve"> </w:t>
      </w:r>
      <w:r>
        <w:t xml:space="preserve">suite.</w:t>
      </w:r>
    </w:p>
    <w:bookmarkEnd w:id="23"/>
    <w:bookmarkStart w:id="24" w:name="the-backend-transition"/>
    <w:p>
      <w:pPr>
        <w:pStyle w:val="Heading2"/>
      </w:pPr>
      <w:r>
        <w:t xml:space="preserve">5. The Backend Transition</w:t>
      </w:r>
    </w:p>
    <w:p>
      <w:pPr>
        <w:pStyle w:val="FirstParagraph"/>
      </w:pPr>
      <w:r>
        <w:t xml:space="preserve">As the feature set expanded, the limitations of the frontend-only SPA architecture became untenable. A backend API layer was introduced via Next.js Server Route Handlers, replacing the client-side mock data services with actual server-side logic and validation schemas.</w:t>
      </w:r>
    </w:p>
    <w:bookmarkEnd w:id="24"/>
    <w:bookmarkStart w:id="25" w:name="the-database-transition"/>
    <w:p>
      <w:pPr>
        <w:pStyle w:val="Heading2"/>
      </w:pPr>
      <w:r>
        <w:t xml:space="preserve">6. The Database Transition</w:t>
      </w:r>
    </w:p>
    <w:p>
      <w:pPr>
        <w:pStyle w:val="FirstParagraph"/>
      </w:pPr>
      <w:r>
        <w:t xml:space="preserve">The local JSON data store (</w:t>
      </w:r>
      <w:r>
        <w:rPr>
          <w:rStyle w:val="VerbatimChar"/>
        </w:rPr>
        <w:t xml:space="preserve">.data/trak-db.json</w:t>
      </w:r>
      <w:r>
        <w:t xml:space="preserve">) presented a catastrophic risk: it lacked ACID transactions and would corrupt under concurrent multi-user load, preventing any form of scaled deployment. Consequently, the project underwent a massive data layer rewrite, implementing PostgreSQL via the Prisma ORM.</w:t>
      </w:r>
    </w:p>
    <w:bookmarkEnd w:id="25"/>
    <w:bookmarkStart w:id="26" w:name="security-transition-the-audit"/>
    <w:p>
      <w:pPr>
        <w:pStyle w:val="Heading2"/>
      </w:pPr>
      <w:r>
        <w:t xml:space="preserve">7. Security Transition &amp; The Audit</w:t>
      </w:r>
    </w:p>
    <w:p>
      <w:pPr>
        <w:pStyle w:val="FirstParagraph"/>
      </w:pPr>
      <w:r>
        <w:t xml:space="preserve">A formal production readiness audit exposed severe vulnerabilities in the prototype’s architecture. Passwords were a shared plaintext constant (</w:t>
      </w:r>
      <w:r>
        <w:rPr>
          <w:rStyle w:val="VerbatimChar"/>
        </w:rPr>
        <w:t xml:space="preserve">DLUactsys360</w:t>
      </w:r>
      <w:r>
        <w:t xml:space="preserve">), the API indiscriminately exposed all unit data (</w:t>
      </w:r>
      <w:r>
        <w:rPr>
          <w:rStyle w:val="VerbatimChar"/>
        </w:rPr>
        <w:t xml:space="preserve">GET /api/bootstrap</w:t>
      </w:r>
      <w:r>
        <w:t xml:space="preserve">), and session authentication relied on a hardcoded fallback secret.</w:t>
      </w:r>
    </w:p>
    <w:p>
      <w:pPr>
        <w:pStyle w:val="BodyText"/>
      </w:pPr>
      <w:r>
        <w:t xml:space="preserve">These discoveries triggered a comprehensive security remediation phase. Passwords were cryptographically hashed using</w:t>
      </w:r>
      <w:r>
        <w:t xml:space="preserve"> </w:t>
      </w:r>
      <w:r>
        <w:rPr>
          <w:rStyle w:val="VerbatimChar"/>
        </w:rPr>
        <w:t xml:space="preserve">bcryptjs</w:t>
      </w:r>
      <w:r>
        <w:t xml:space="preserve">. API endpoints were rigidly scoped to the authenticated user. A secure, Opaque Token session architecture was built to replace the vulnerable JWT implementation.</w:t>
      </w:r>
    </w:p>
    <w:bookmarkEnd w:id="26"/>
    <w:bookmarkStart w:id="27" w:name="realtime-transition"/>
    <w:p>
      <w:pPr>
        <w:pStyle w:val="Heading2"/>
      </w:pPr>
      <w:r>
        <w:t xml:space="preserve">8. Realtime Transition</w:t>
      </w:r>
    </w:p>
    <w:p>
      <w:pPr>
        <w:pStyle w:val="FirstParagraph"/>
      </w:pPr>
      <w:r>
        <w:t xml:space="preserve">The prototype relied on an inefficient 30-second polling loop to simulate live messaging, placing immense strain on the server. This was discarded in favor of a custom WebSocket server (</w:t>
      </w:r>
      <w:r>
        <w:rPr>
          <w:rStyle w:val="VerbatimChar"/>
        </w:rPr>
        <w:t xml:space="preserve">server.ts</w:t>
      </w:r>
      <w:r>
        <w:t xml:space="preserve">) built with</w:t>
      </w:r>
      <w:r>
        <w:t xml:space="preserve"> </w:t>
      </w:r>
      <w:r>
        <w:rPr>
          <w:rStyle w:val="VerbatimChar"/>
        </w:rPr>
        <w:t xml:space="preserve">ws</w:t>
      </w:r>
      <w:r>
        <w:t xml:space="preserve">. To ensure horizontal scalability across multiple server instances, the WebSocket layer was integrated with Redis Pub/Sub for cross-node message broadcasting.</w:t>
      </w:r>
    </w:p>
    <w:bookmarkEnd w:id="27"/>
    <w:bookmarkStart w:id="28" w:name="production-hardening"/>
    <w:p>
      <w:pPr>
        <w:pStyle w:val="Heading2"/>
      </w:pPr>
      <w:r>
        <w:t xml:space="preserve">9. Production Hardening</w:t>
      </w:r>
    </w:p>
    <w:p>
      <w:pPr>
        <w:pStyle w:val="FirstParagraph"/>
      </w:pPr>
      <w:r>
        <w:t xml:space="preserve">To ensure the application could survive a live environment, strict deployment safety gates were introduced. Automated Vitest unit tests (90/90 passing) and Playwright E2E tests were configured. Crucially, an environment validation script (</w:t>
      </w:r>
      <w:r>
        <w:rPr>
          <w:rStyle w:val="VerbatimChar"/>
        </w:rPr>
        <w:t xml:space="preserve">check-prod-env.mjs</w:t>
      </w:r>
      <w:r>
        <w:t xml:space="preserve">) was written to explicitly crash the application if insecure dev configurations were detected in production.</w:t>
      </w:r>
    </w:p>
    <w:bookmarkEnd w:id="28"/>
    <w:bookmarkStart w:id="29" w:name="ui-redesign"/>
    <w:p>
      <w:pPr>
        <w:pStyle w:val="Heading2"/>
      </w:pPr>
      <w:r>
        <w:t xml:space="preserve">10. UI Redesign</w:t>
      </w:r>
    </w:p>
    <w:p>
      <w:pPr>
        <w:pStyle w:val="FirstParagraph"/>
      </w:pPr>
      <w:r>
        <w:t xml:space="preserve">With the backend stabilized, focus shifted to the frontend. The original 1:1 prototype port relied on hardcoded Tailwind utility classes (</w:t>
      </w:r>
      <w:r>
        <w:rPr>
          <w:rStyle w:val="VerbatimChar"/>
        </w:rPr>
        <w:t xml:space="preserve">bg-aztec</w:t>
      </w:r>
      <w:r>
        <w:t xml:space="preserve">), making Dark Mode impossible and creating a brittle component system. A controlled UI redesign branch (</w:t>
      </w:r>
      <w:r>
        <w:rPr>
          <w:rStyle w:val="VerbatimChar"/>
        </w:rPr>
        <w:t xml:space="preserve">ui-redesign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) was established to migrate the application to semantic design tokens (</w:t>
      </w:r>
      <w:r>
        <w:rPr>
          <w:rStyle w:val="VerbatimChar"/>
        </w:rPr>
        <w:t xml:space="preserve">bg-surface</w:t>
      </w:r>
      <w:r>
        <w:t xml:space="preserve">), overhaul the mobile navigation ergonomics, and decouple complex monolithic components.</w:t>
      </w:r>
    </w:p>
    <w:bookmarkEnd w:id="29"/>
    <w:bookmarkStart w:id="30" w:name="current-state"/>
    <w:p>
      <w:pPr>
        <w:pStyle w:val="Heading2"/>
      </w:pPr>
      <w:r>
        <w:t xml:space="preserve">11. Current State</w:t>
      </w:r>
    </w:p>
    <w:p>
      <w:pPr>
        <w:pStyle w:val="FirstParagraph"/>
      </w:pPr>
      <w:r>
        <w:t xml:space="preserve">TRAK currently exists as an architecturally mature, secure application. The engineering work required to support concurrent users, secure sensitive data, and provide real-time updates is complete. The application is currently finalizing its visual UI redesign.</w:t>
      </w:r>
    </w:p>
    <w:bookmarkEnd w:id="30"/>
    <w:bookmarkStart w:id="31" w:name="the-future"/>
    <w:p>
      <w:pPr>
        <w:pStyle w:val="Heading2"/>
      </w:pPr>
      <w:r>
        <w:t xml:space="preserve">12. The Future</w:t>
      </w:r>
    </w:p>
    <w:p>
      <w:pPr>
        <w:pStyle w:val="FirstParagraph"/>
      </w:pPr>
      <w:r>
        <w:t xml:space="preserve">The application awaits its final operational release gates. Once the</w:t>
      </w:r>
      <w:r>
        <w:t xml:space="preserve"> </w:t>
      </w:r>
      <w:r>
        <w:rPr>
          <w:rStyle w:val="VerbatimChar"/>
        </w:rPr>
        <w:t xml:space="preserve">sync-main</w:t>
      </w:r>
      <w:r>
        <w:t xml:space="preserve"> </w:t>
      </w:r>
      <w:r>
        <w:t xml:space="preserve">redesign is merged, TRAK requires deployment to a Staging environment, full execution of its E2E test suite, and formal User Acceptance Testing (UAT) sign-off from stakeholders before launching to production.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2026-08-23T16:37:45Z</dcterms:created>
  <dcterms:modified xsi:type="dcterms:W3CDTF">2026-08-23T16:37:45Z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