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Open Enrollment Co-Pilot: Overview</w:t>
      </w:r>
    </w:p>
    <w:p>
      <w:pPr/>
      <w:r>
        <w:t xml:space="preserve">Oct 25, 2026</w:t>
      </w:r>
      <w:r>
        <w:t xml:space="preserve"> · </w:t>
      </w:r>
      <w:r>
        <w:t xml:space="preserve">@TripleR</w:t>
      </w:r>
    </w:p>
    <w:p>
      <w:pPr>
        <w:pStyle w:val="Heading2"/>
      </w:pPr>
      <w:r>
        <w:t xml:space="preserve">The problem</w:t>
      </w:r>
    </w:p>
    <w:p>
      <w:pPr/>
      <w:r>
        <w:t xml:space="preserve">Open enrollment asks people to choose medical, dental and vision plans in a few weeks, using a multi-page guide that never states what a plan will cost their own family. The 2027 guide we tested has 7 medical options, each with in-network and out-of-network columns, and no yearly cost for anyone.</w:t>
      </w:r>
    </w:p>
    <w:p>
      <w:pPr/>
      <w:r>
        <w:t xml:space="preserve">The choice matters. In our demo built from that guide, one adult with light placeholder usage nets about $1,820 a year on the cheapest option and about $5,485 on the costliest. HR teams then field the same questions each fall: which plan, what is covered, is my drug on the list.</w:t>
      </w:r>
    </w:p>
    <w:p>
      <w:pPr/>
      <w:r>
        <w:t xml:space="preserve">Co-Pilot's aim is to answer what it can, show the math, and send the rest to HR as specific questions.</w:t>
      </w:r>
    </w:p>
    <w:p>
      <w:pPr>
        <w:pStyle w:val="Heading2"/>
      </w:pPr>
      <w:r>
        <w:t xml:space="preserve">What it is</w:t>
      </w:r>
    </w:p>
    <w:p>
      <w:pPr/>
      <w:r>
        <w:t xml:space="preserve">Open Enrollment Co-Pilot is a single HTML file an employer gives each employee. The employer's plans are built into it. The employee answers a few simple questions, and it recommends a medical, dental and vision choice with the cost math shown.</w:t>
      </w:r>
    </w:p>
    <w:p>
      <w:pPr/>
      <w:r>
        <w:t xml:space="preserve">It is for employers, brokers and HR teams who want fewer enrollment calls, and for the employees who make the choice. It runs entirely on the employee's device. Employees never upload or type a spreadsheet.</w:t>
      </w:r>
    </w:p>
    <w:p>
      <w:pPr>
        <w:pStyle w:val="Heading2"/>
      </w:pPr>
      <w:r>
        <w:t xml:space="preserve">How it works</w:t>
      </w:r>
    </w:p>
    <w:p>
      <w:pPr/>
      <w:r>
        <w:t xml:space="preserve">HR does the setup once; employees only open a file.</w:t>
      </w:r>
    </w:p>
    <w:p>
      <w:pPr>
        <w:pStyle w:val="ListParagraph"/>
        <w:numPr>
          <w:ilvl w:val="0"/>
          <w:numId w:val="2"/>
        </w:numPr>
      </w:pPr>
      <w:r>
        <w:rPr>
          <w:b/>
        </w:rPr>
        <w:t xml:space="preserve">HR loads the plans</w:t>
      </w:r>
      <w:r>
        <w:t xml:space="preserve"> into the Plan Builder: plan terms and prices as a CSV, an optional drug list, and the name of the person confirming accuracy.</w:t>
      </w:r>
    </w:p>
    <w:p>
      <w:pPr>
        <w:pStyle w:val="ListParagraph"/>
        <w:numPr>
          <w:ilvl w:val="0"/>
          <w:numId w:val="2"/>
        </w:numPr>
      </w:pPr>
      <w:r>
        <w:rPr>
          <w:b/>
        </w:rPr>
        <w:t xml:space="preserve">The builder produces the employee file</w:t>
      </w:r>
      <w:r>
        <w:t xml:space="preserve"> and a short file ID. HR publishes the ID next to the file.</w:t>
      </w:r>
    </w:p>
    <w:p>
      <w:pPr>
        <w:pStyle w:val="ListParagraph"/>
        <w:numPr>
          <w:ilvl w:val="0"/>
          <w:numId w:val="2"/>
        </w:numPr>
      </w:pPr>
      <w:r>
        <w:rPr>
          <w:b/>
        </w:rPr>
        <w:t xml:space="preserve">The employee opens the file</w:t>
      </w:r>
      <w:r>
        <w:t xml:space="preserve"> and answers questions: family or not, expected care, medications, dental and vision work.</w:t>
      </w:r>
    </w:p>
    <w:p>
      <w:pPr>
        <w:pStyle w:val="ListParagraph"/>
        <w:numPr>
          <w:ilvl w:val="0"/>
          <w:numId w:val="2"/>
        </w:numPr>
      </w:pPr>
      <w:r>
        <w:rPr>
          <w:b/>
        </w:rPr>
        <w:t xml:space="preserve">The Co-Pilot ranks the plans</w:t>
      </w:r>
      <w:r>
        <w:t xml:space="preserve"> by yearly net cost: premiums plus expected out-of-pocket, after tax savings, with a bad-year view.</w:t>
      </w:r>
    </w:p>
    <w:p>
      <w:pPr>
        <w:pStyle w:val="ListParagraph"/>
        <w:numPr>
          <w:ilvl w:val="0"/>
          <w:numId w:val="2"/>
        </w:numPr>
      </w:pPr>
      <w:r>
        <w:rPr>
          <w:b/>
        </w:rPr>
        <w:t xml:space="preserve">Anything it cannot know becomes a question for HR</w:t>
      </w:r>
      <w:r>
        <w:t xml:space="preserve">, worded specifically, instead of a guess.</w:t>
      </w:r>
    </w:p>
    <w:p>
      <w:pPr>
        <w:pStyle w:val="Heading2"/>
      </w:pPr>
      <w:r>
        <w:t xml:space="preserve">What the employee sees</w:t>
      </w:r>
    </w:p>
    <w:p>
      <w:pPr>
        <w:pStyle w:val="ListParagraph"/>
        <w:numPr>
          <w:ilvl w:val="0"/>
          <w:numId w:val="3"/>
        </w:numPr>
      </w:pPr>
      <w:r>
        <w:rPr>
          <w:b/>
        </w:rPr>
        <w:t xml:space="preserve">One family switch.</w:t>
      </w:r>
      <w:r>
        <w:t xml:space="preserve"> Spouse and children appear only when the employee says they are covering family; the right price tier follows.</w:t>
      </w:r>
    </w:p>
    <w:p>
      <w:pPr>
        <w:pStyle w:val="ListParagraph"/>
        <w:numPr>
          <w:ilvl w:val="0"/>
          <w:numId w:val="3"/>
        </w:numPr>
      </w:pPr>
      <w:r>
        <w:rPr>
          <w:b/>
        </w:rPr>
        <w:t xml:space="preserve">Simple inputs.</w:t>
      </w:r>
      <w:r>
        <w:t xml:space="preserve"> Steppers and toggles for visits, procedures, dental and vision work. No files to prepare.</w:t>
      </w:r>
    </w:p>
    <w:p>
      <w:pPr>
        <w:pStyle w:val="ListParagraph"/>
        <w:numPr>
          <w:ilvl w:val="0"/>
          <w:numId w:val="3"/>
        </w:numPr>
      </w:pPr>
      <w:r>
        <w:rPr>
          <w:b/>
        </w:rPr>
        <w:t xml:space="preserve">Drug search.</w:t>
      </w:r>
      <w:r>
        <w:t xml:space="preserve"> Typing a medication shows its tier and cost on each plan. A drug that is not covered is billed at full price and does not count toward the out-of-pocket maximum. A drug not on the list becomes a question for HR.</w:t>
      </w:r>
    </w:p>
    <w:p>
      <w:pPr>
        <w:pStyle w:val="ListParagraph"/>
        <w:numPr>
          <w:ilvl w:val="0"/>
          <w:numId w:val="3"/>
        </w:numPr>
      </w:pPr>
      <w:r>
        <w:rPr>
          <w:b/>
        </w:rPr>
        <w:t xml:space="preserve">Transparent math.</w:t>
      </w:r>
      <w:r>
        <w:t xml:space="preserve"> Each plan shows premiums, expected out-of-pocket, tax savings, employer HSA deposit, and a bad-year cost, plus a chart of when each plan wins.</w:t>
      </w:r>
    </w:p>
    <w:p>
      <w:pPr>
        <w:pStyle w:val="ListParagraph"/>
        <w:numPr>
          <w:ilvl w:val="0"/>
          <w:numId w:val="3"/>
        </w:numPr>
      </w:pPr>
      <w:r>
        <w:rPr>
          <w:b/>
        </w:rPr>
        <w:t xml:space="preserve">Last year's prices.</w:t>
      </w:r>
      <w:r>
        <w:t xml:space="preserve"> A column shows the change per paycheck when HR supplies prior-year prices.</w:t>
      </w:r>
    </w:p>
    <w:p>
      <w:pPr>
        <w:pStyle w:val="ListParagraph"/>
        <w:numPr>
          <w:ilvl w:val="0"/>
          <w:numId w:val="3"/>
        </w:numPr>
      </w:pPr>
      <w:r>
        <w:rPr>
          <w:b/>
        </w:rPr>
        <w:t xml:space="preserve">Ask HR list.</w:t>
      </w:r>
      <w:r>
        <w:t xml:space="preserve"> One short list of unknowns, merged across plans.</w:t>
      </w:r>
    </w:p>
    <w:p>
      <w:pPr>
        <w:pStyle w:val="Heading2"/>
      </w:pPr>
      <w:r>
        <w:t xml:space="preserve">Proof on a real guide</w:t>
      </w:r>
    </w:p>
    <w:p>
      <w:pPr/>
      <w:r>
        <w:t xml:space="preserve">We typed the plans from a real 2027 benefits guide into the builder and produced a working file.</w:t>
      </w:r>
    </w:p>
    <w:tbl>
      <w:tblPr>
        <w:tblStyle w:val="TableGrid"/>
        <w:tblW w:w="0" w:type="auto"/>
        <w:tblLayout w:type="fixed"/>
        <w:tblLook w:val="04A0" w:firstRow="1" w:lastRow="0" w:firstColumn="0" w:lastColumn="0" w:noHBand="0" w:noVBand="1"/>
      </w:tblPr>
      <w:tblGrid>
        <w:gridCol w:w="3432"/>
        <w:gridCol w:w="5927"/>
      </w:tblGrid>
      <w:tr>
        <w:trPr>
          <w:tblHeader/>
        </w:trPr>
        <w:tc>
          <w:tcPr>
            <w:tcW w:w="3432" w:type="dxa"/>
            <w:shd w:val="clear" w:color="auto" w:fill="F2F2F2"/>
          </w:tcPr>
          <w:p>
            <w:pPr/>
            <w:r>
              <w:t xml:space="preserve">Item</w:t>
            </w:r>
          </w:p>
        </w:tc>
        <w:tc>
          <w:tcPr>
            <w:tcW w:w="5927" w:type="dxa"/>
            <w:shd w:val="clear" w:color="auto" w:fill="F2F2F2"/>
          </w:tcPr>
          <w:p>
            <w:pPr/>
            <w:r>
              <w:t xml:space="preserve">Result</w:t>
            </w:r>
          </w:p>
        </w:tc>
      </w:tr>
      <w:tr>
        <w:tc>
          <w:tcPr>
            <w:tcW w:w="3432" w:type="dxa"/>
          </w:tcPr>
          <w:p>
            <w:pPr/>
            <w:r>
              <w:t xml:space="preserve">Medical plans</w:t>
            </w:r>
          </w:p>
        </w:tc>
        <w:tc>
          <w:tcPr>
            <w:tcW w:w="5927" w:type="dxa"/>
          </w:tcPr>
          <w:p>
            <w:pPr/>
            <w:r>
              <w:t xml:space="preserve">7 entered with real deductibles, out-of-pocket maximums, copays and biweekly prices</w:t>
            </w:r>
          </w:p>
        </w:tc>
      </w:tr>
      <w:tr>
        <w:tc>
          <w:tcPr>
            <w:tcW w:w="3432" w:type="dxa"/>
          </w:tcPr>
          <w:p>
            <w:pPr/>
            <w:r>
              <w:t xml:space="preserve">Prescription cost sharing</w:t>
            </w:r>
          </w:p>
        </w:tc>
        <w:tc>
          <w:tcPr>
            <w:tcW w:w="5927" w:type="dxa"/>
          </w:tcPr>
          <w:p>
            <w:pPr/>
            <w:r>
              <w:t xml:space="preserve">Coinsurance with minimum and maximum now modeled</w:t>
            </w:r>
          </w:p>
        </w:tc>
      </w:tr>
      <w:tr>
        <w:tc>
          <w:tcPr>
            <w:tcW w:w="3432" w:type="dxa"/>
          </w:tcPr>
          <w:p>
            <w:pPr/>
            <w:r>
              <w:t xml:space="preserve">Dental and vision</w:t>
            </w:r>
          </w:p>
        </w:tc>
        <w:tc>
          <w:tcPr>
            <w:tcW w:w="5927" w:type="dxa"/>
          </w:tcPr>
          <w:p>
            <w:pPr/>
            <w:r>
              <w:t xml:space="preserve">Prices only; the guide has no coverage levels, so the tool declines to rank them and lists questions for HR</w:t>
            </w:r>
          </w:p>
        </w:tc>
      </w:tr>
      <w:tr>
        <w:tc>
          <w:tcPr>
            <w:tcW w:w="3432" w:type="dxa"/>
          </w:tcPr>
          <w:p>
            <w:pPr/>
            <w:r>
              <w:t xml:space="preserve">Same-terms plans</w:t>
            </w:r>
          </w:p>
        </w:tc>
        <w:tc>
          <w:tcPr>
            <w:tcW w:w="5927" w:type="dxa"/>
          </w:tcPr>
          <w:p>
            <w:pPr/>
            <w:r>
              <w:t xml:space="preserve">Aetna and UHC PPO are identical, so the tool asks which network includes the employee's doctors</w:t>
            </w:r>
          </w:p>
        </w:tc>
      </w:tr>
      <w:tr>
        <w:tc>
          <w:tcPr>
            <w:tcW w:w="3432" w:type="dxa"/>
          </w:tcPr>
          <w:p>
            <w:pPr/>
            <w:r>
              <w:t xml:space="preserve">HSA deposit</w:t>
            </w:r>
          </w:p>
        </w:tc>
        <w:tc>
          <w:tcPr>
            <w:tcW w:w="5927" w:type="dxa"/>
          </w:tcPr>
          <w:p>
            <w:pPr/>
            <w:r>
              <w:t xml:space="preserve">Not stated in the guide, so the tool asks HR</w:t>
            </w:r>
          </w:p>
        </w:tc>
      </w:tr>
    </w:tbl>
    <w:p>
      <w:pPr/>
      <w:r>
        <w:t xml:space="preserve">Assumed, not stated in the guide: a specialty drug tier equal to non-preferred, and aggregate family deductibles on the high-deductible plans. Not modeled yet: out-of-network costs, mail-order copays, and the guide's $125 GLP-1 employer contribution. The demo's drug list is a labeled sample.</w:t>
      </w:r>
    </w:p>
    <w:p>
      <w:pPr>
        <w:pStyle w:val="Heading2"/>
      </w:pPr>
      <w:r>
        <w:t xml:space="preserve">Privacy and trust</w:t>
      </w:r>
    </w:p>
    <w:p>
      <w:pPr>
        <w:pStyle w:val="ListParagraph"/>
        <w:numPr>
          <w:ilvl w:val="0"/>
          <w:numId w:val="4"/>
        </w:numPr>
      </w:pPr>
      <w:r>
        <w:rPr>
          <w:b/>
        </w:rPr>
        <w:t xml:space="preserve">Offline by design.</w:t>
      </w:r>
      <w:r>
        <w:t xml:space="preserve"> The file carries a rule that blocks all network connections. Turn off Wi-Fi and it works the same. Nothing the employee types is saved or sent.</w:t>
      </w:r>
    </w:p>
    <w:p>
      <w:pPr>
        <w:pStyle w:val="ListParagraph"/>
        <w:numPr>
          <w:ilvl w:val="0"/>
          <w:numId w:val="4"/>
        </w:numPr>
      </w:pPr>
      <w:r>
        <w:rPr>
          <w:b/>
        </w:rPr>
        <w:t xml:space="preserve">File ID.</w:t>
      </w:r>
      <w:r>
        <w:t xml:space="preserve"> Each file shows an ID derived from its contents, so HR can publish the ID and employees can confirm they hold the right file.</w:t>
      </w:r>
    </w:p>
    <w:p>
      <w:pPr>
        <w:pStyle w:val="ListParagraph"/>
        <w:numPr>
          <w:ilvl w:val="0"/>
          <w:numId w:val="4"/>
        </w:numPr>
      </w:pPr>
      <w:r>
        <w:rPr>
          <w:b/>
        </w:rPr>
        <w:t xml:space="preserve">HR attestation.</w:t>
      </w:r>
      <w:r>
        <w:t xml:space="preserve"> The builder records who confirmed the plan data and when, and the file shows it.</w:t>
      </w:r>
    </w:p>
    <w:p>
      <w:pPr>
        <w:pStyle w:val="ListParagraph"/>
        <w:numPr>
          <w:ilvl w:val="0"/>
          <w:numId w:val="4"/>
        </w:numPr>
      </w:pPr>
      <w:r>
        <w:rPr>
          <w:b/>
        </w:rPr>
        <w:t xml:space="preserve">Honest about gaps.</w:t>
      </w:r>
      <w:r>
        <w:t xml:space="preserve"> Unknowns are never filled with guesses; they become questions for HR.</w:t>
      </w:r>
    </w:p>
    <w:p>
      <w:pPr/>
      <w:r>
        <w:t xml:space="preserve">The ID shows the file matches what HR published. It does not prove the plan data is correct, which is why the attestation matters.</w:t>
      </w:r>
    </w:p>
    <w:p>
      <w:pPr>
        <w:pStyle w:val="Heading2"/>
      </w:pPr>
      <w:r>
        <w:t xml:space="preserve">Roadmap and open decisions</w:t>
      </w:r>
    </w:p>
    <w:p>
      <w:pPr>
        <w:pStyle w:val="ListParagraph"/>
        <w:numPr>
          <w:ilvl w:val="0"/>
          <w:numId w:val="5"/>
        </w:numPr>
      </w:pPr>
      <w:r>
        <w:rPr>
          <w:b/>
        </w:rPr>
        <w:t xml:space="preserve">Next:</w:t>
      </w:r>
      <w:r>
        <w:t xml:space="preserve"> start-from-last-year inputs, guided life-event questions, and a take-home pay view.</w:t>
      </w:r>
    </w:p>
    <w:p>
      <w:pPr>
        <w:pStyle w:val="ListParagraph"/>
        <w:numPr>
          <w:ilvl w:val="0"/>
          <w:numId w:val="5"/>
        </w:numPr>
      </w:pPr>
      <w:r>
        <w:rPr>
          <w:b/>
        </w:rPr>
        <w:t xml:space="preserve">Then:</w:t>
      </w:r>
      <w:r>
        <w:t xml:space="preserve"> plan feature filters such as GLP-1 coverage, drug prior-approval rules, and doctor and network checks.</w:t>
      </w:r>
    </w:p>
    <w:p>
      <w:pPr>
        <w:pStyle w:val="ListParagraph"/>
        <w:numPr>
          <w:ilvl w:val="0"/>
          <w:numId w:val="5"/>
        </w:numPr>
      </w:pPr>
      <w:r>
        <w:rPr>
          <w:b/>
        </w:rPr>
        <w:t xml:space="preserve">Later:</w:t>
      </w:r>
      <w:r>
        <w:t xml:space="preserve"> spouse-coverage comparison and reading year-end insurer summaries, only if it can stay on the device.</w:t>
      </w:r>
    </w:p>
    <w:p>
      <w:pPr/>
      <w:r>
        <w:t xml:space="preserve">Open decisions:</w:t>
      </w:r>
    </w:p>
    <w:p>
      <w:pPr>
        <w:pStyle w:val="ListParagraph"/>
        <w:numPr>
          <w:ilvl w:val="0"/>
          <w:numId w:val="6"/>
        </w:numPr>
      </w:pPr>
      <w:r>
        <w:t xml:space="preserve">☐ How HR delivers the real drug list (carrier export or a top-drugs list)</w:t>
      </w:r>
    </w:p>
    <w:p>
      <w:pPr>
        <w:pStyle w:val="ListParagraph"/>
        <w:numPr>
          <w:ilvl w:val="0"/>
          <w:numId w:val="6"/>
        </w:numPr>
      </w:pPr>
      <w:r>
        <w:t xml:space="preserve">☐ Who signs the attestation at a pilot employer</w:t>
      </w:r>
    </w:p>
    <w:p>
      <w:pPr>
        <w:pStyle w:val="ListParagraph"/>
        <w:numPr>
          <w:ilvl w:val="0"/>
          <w:numId w:val="6"/>
        </w:numPr>
      </w:pPr>
      <w:r>
        <w:t xml:space="preserve">☐ Confirm 2027 HSA and FSA limits before any pilot</w:t>
      </w:r>
    </w:p>
    <w:p>
      <w:pPr>
        <w:pStyle w:val="ListParagraph"/>
        <w:numPr>
          <w:ilvl w:val="0"/>
          <w:numId w:val="6"/>
        </w:numPr>
      </w:pPr>
      <w:r>
        <w:t xml:space="preserve">☐ Check the Co-Pilot name against existing trademarks</w:t>
      </w:r>
    </w:p>
    <w:p>
      <w:pPr>
        <w:pStyle w:val="Heading2"/>
      </w:pPr>
      <w:r>
        <w:t xml:space="preserve">Fit to the judging rubric</w:t>
      </w:r>
    </w:p>
    <w:tbl>
      <w:tblPr>
        <w:tblStyle w:val="TableGrid"/>
        <w:tblW w:w="0" w:type="auto"/>
        <w:tblLayout w:type="fixed"/>
        <w:tblLook w:val="04A0" w:firstRow="1" w:lastRow="0" w:firstColumn="0" w:lastColumn="0" w:noHBand="0" w:noVBand="1"/>
      </w:tblPr>
      <w:tblGrid>
        <w:gridCol w:w="3484"/>
        <w:gridCol w:w="956"/>
        <w:gridCol w:w="4920"/>
      </w:tblGrid>
      <w:tr>
        <w:trPr>
          <w:tblHeader/>
        </w:trPr>
        <w:tc>
          <w:tcPr>
            <w:tcW w:w="3484" w:type="dxa"/>
            <w:shd w:val="clear" w:color="auto" w:fill="F2F2F2"/>
          </w:tcPr>
          <w:p>
            <w:pPr/>
            <w:r>
              <w:t xml:space="preserve">Criterion</w:t>
            </w:r>
          </w:p>
        </w:tc>
        <w:tc>
          <w:tcPr>
            <w:tcW w:w="956" w:type="dxa"/>
            <w:shd w:val="clear" w:color="auto" w:fill="F2F2F2"/>
          </w:tcPr>
          <w:p>
            <w:pPr/>
            <w:r>
              <w:t xml:space="preserve">Weight</w:t>
            </w:r>
          </w:p>
        </w:tc>
        <w:tc>
          <w:tcPr>
            <w:tcW w:w="4920" w:type="dxa"/>
            <w:shd w:val="clear" w:color="auto" w:fill="F2F2F2"/>
          </w:tcPr>
          <w:p>
            <w:pPr/>
            <w:r>
              <w:t xml:space="preserve">Where the Co-Pilot stands</w:t>
            </w:r>
          </w:p>
        </w:tc>
      </w:tr>
      <w:tr>
        <w:tc>
          <w:tcPr>
            <w:tcW w:w="3484" w:type="dxa"/>
          </w:tcPr>
          <w:p>
            <w:pPr/>
            <w:r>
              <w:t xml:space="preserve">Demand reality and problem severity</w:t>
            </w:r>
          </w:p>
        </w:tc>
        <w:tc>
          <w:tcPr>
            <w:tcW w:w="956" w:type="dxa"/>
          </w:tcPr>
          <w:p>
            <w:pPr/>
            <w:r>
              <w:t xml:space="preserve">25%</w:t>
            </w:r>
          </w:p>
        </w:tc>
        <w:tc>
          <w:tcPr>
            <w:tcW w:w="4920" w:type="dxa"/>
          </w:tcPr>
          <w:p>
            <w:pPr/>
            <w:r>
              <w:t xml:space="preserve">Every employer with a benefits guide runs this process each year; the demo shows a large yearly cost gap between plans. Pilot evidence of reduced HR calls is still needed.</w:t>
            </w:r>
          </w:p>
        </w:tc>
      </w:tr>
      <w:tr>
        <w:tc>
          <w:tcPr>
            <w:tcW w:w="3484" w:type="dxa"/>
          </w:tcPr>
          <w:p>
            <w:pPr/>
            <w:r>
              <w:t xml:space="preserve">Target customer and market scope</w:t>
            </w:r>
          </w:p>
        </w:tc>
        <w:tc>
          <w:tcPr>
            <w:tcW w:w="956" w:type="dxa"/>
          </w:tcPr>
          <w:p>
            <w:pPr/>
            <w:r>
              <w:t xml:space="preserve">20%</w:t>
            </w:r>
          </w:p>
        </w:tc>
        <w:tc>
          <w:tcPr>
            <w:tcW w:w="4920" w:type="dxa"/>
          </w:tcPr>
          <w:p>
            <w:pPr/>
            <w:r>
              <w:t xml:space="preserve">Employers, brokers and HR teams, delivered to every enrolled employee.</w:t>
            </w:r>
          </w:p>
        </w:tc>
      </w:tr>
      <w:tr>
        <w:tc>
          <w:tcPr>
            <w:tcW w:w="3484" w:type="dxa"/>
          </w:tcPr>
          <w:p>
            <w:pPr/>
            <w:r>
              <w:t xml:space="preserve">Solution fit and product design</w:t>
            </w:r>
          </w:p>
        </w:tc>
        <w:tc>
          <w:tcPr>
            <w:tcW w:w="956" w:type="dxa"/>
          </w:tcPr>
          <w:p>
            <w:pPr/>
            <w:r>
              <w:t xml:space="preserve">20%</w:t>
            </w:r>
          </w:p>
        </w:tc>
        <w:tc>
          <w:tcPr>
            <w:tcW w:w="4920" w:type="dxa"/>
          </w:tcPr>
          <w:p>
            <w:pPr/>
            <w:r>
              <w:t xml:space="preserve">One family switch, simple inputs, drug search, and unknowns routed to HR.</w:t>
            </w:r>
          </w:p>
        </w:tc>
      </w:tr>
      <w:tr>
        <w:tc>
          <w:tcPr>
            <w:tcW w:w="3484" w:type="dxa"/>
          </w:tcPr>
          <w:p>
            <w:pPr/>
            <w:r>
              <w:t xml:space="preserve">Technical execution and demo proof</w:t>
            </w:r>
          </w:p>
        </w:tc>
        <w:tc>
          <w:tcPr>
            <w:tcW w:w="956" w:type="dxa"/>
          </w:tcPr>
          <w:p>
            <w:pPr/>
            <w:r>
              <w:t xml:space="preserve">20%</w:t>
            </w:r>
          </w:p>
        </w:tc>
        <w:tc>
          <w:tcPr>
            <w:tcW w:w="4920" w:type="dxa"/>
          </w:tcPr>
          <w:p>
            <w:pPr/>
            <w:r>
              <w:t xml:space="preserve">Working offline file and builder, 54 automated checks, and a demo built from a real guide.</w:t>
            </w:r>
          </w:p>
        </w:tc>
      </w:tr>
      <w:tr>
        <w:tc>
          <w:tcPr>
            <w:tcW w:w="3484" w:type="dxa"/>
          </w:tcPr>
          <w:p>
            <w:pPr/>
            <w:r>
              <w:t xml:space="preserve">Differentiation and investment readiness</w:t>
            </w:r>
          </w:p>
        </w:tc>
        <w:tc>
          <w:tcPr>
            <w:tcW w:w="956" w:type="dxa"/>
          </w:tcPr>
          <w:p>
            <w:pPr/>
            <w:r>
              <w:t xml:space="preserve">15%</w:t>
            </w:r>
          </w:p>
        </w:tc>
        <w:tc>
          <w:tcPr>
            <w:tcW w:w="4920" w:type="dxa"/>
          </w:tcPr>
          <w:p>
            <w:pPr/>
            <w:r>
              <w:t xml:space="preserve">Offline by design with a verifiable file ID and HR attestation. Needs a pilot customer and a pricing model.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Open Enrollment Co-Pilot Overview</dc:title>
  <dc:description>Claude Docs node/fa5cb607-30a9@9 docx-w7</dc:description>
  <cp:revision>9</cp:revision>
</cp:coreProperties>
</file>