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742" w:rsidRDefault="00C12273">
      <w:pPr>
        <w:shd w:val="clear" w:color="auto" w:fill="1F4E79"/>
        <w:spacing w:after="60"/>
      </w:pPr>
      <w:bookmarkStart w:id="0" w:name="_GoBack"/>
      <w:bookmarkEnd w:id="0"/>
      <w:r>
        <w:rPr>
          <w:b/>
          <w:bCs/>
          <w:color w:val="FFFFFF"/>
          <w:sz w:val="52"/>
          <w:szCs w:val="52"/>
        </w:rPr>
        <w:t xml:space="preserve">  Project Architecture</w:t>
      </w:r>
    </w:p>
    <w:p w:rsidR="00E24742" w:rsidRDefault="00C12273">
      <w:pPr>
        <w:shd w:val="clear" w:color="auto" w:fill="2E75B6"/>
        <w:spacing w:after="240"/>
      </w:pPr>
      <w:r>
        <w:rPr>
          <w:i/>
          <w:iCs/>
          <w:color w:val="FFFFFF"/>
          <w:sz w:val="26"/>
          <w:szCs w:val="26"/>
        </w:rPr>
        <w:t xml:space="preserve">  End-to-End Secure Data Pipeline on AWS</w:t>
      </w:r>
    </w:p>
    <w:p w:rsidR="00E24742" w:rsidRDefault="00C12273">
      <w:pPr>
        <w:pStyle w:val="Heading1"/>
        <w:pBdr>
          <w:bottom w:val="single" w:sz="6" w:space="1" w:color="2E75B6"/>
        </w:pBdr>
      </w:pPr>
      <w:r>
        <w:t>Overview</w:t>
      </w:r>
    </w:p>
    <w:p w:rsidR="00E24742" w:rsidRDefault="00C12273">
      <w:pPr>
        <w:spacing w:before="80" w:after="80"/>
      </w:pPr>
      <w:r>
        <w:rPr>
          <w:color w:val="2C2C2C"/>
        </w:rPr>
        <w:t>This document outlines the architectural design for a secure, scalable data platform built on AWS. The solution is designed to handle large-scale data ingestion from public sources and provide a secure environment for data science exploitation using Tablea</w:t>
      </w:r>
      <w:r>
        <w:rPr>
          <w:color w:val="2C2C2C"/>
        </w:rPr>
        <w:t>u.</w:t>
      </w:r>
    </w:p>
    <w:p w:rsidR="00E24742" w:rsidRDefault="00E24742">
      <w:pPr>
        <w:spacing w:before="80" w:after="80"/>
      </w:pPr>
    </w:p>
    <w:p w:rsidR="00E24742" w:rsidRDefault="00C12273">
      <w:pPr>
        <w:pBdr>
          <w:left w:val="single" w:sz="12" w:space="0" w:color="2E75B6"/>
        </w:pBdr>
        <w:shd w:val="clear" w:color="auto" w:fill="D6E4F0"/>
        <w:spacing w:before="120" w:after="120"/>
        <w:ind w:left="360"/>
      </w:pPr>
      <w:r>
        <w:rPr>
          <w:i/>
          <w:iCs/>
          <w:color w:val="1F4E79"/>
          <w:sz w:val="20"/>
          <w:szCs w:val="20"/>
        </w:rPr>
        <w:t>All data movement, storage, and query traffic is confined to the AWS private network — no data traverses the public internet once it enters the VPC.</w:t>
      </w:r>
    </w:p>
    <w:p w:rsidR="00E24742" w:rsidRDefault="00E24742">
      <w:pPr>
        <w:spacing w:before="80" w:after="80"/>
      </w:pPr>
    </w:p>
    <w:p w:rsidR="00E24742" w:rsidRDefault="00C12273">
      <w:pPr>
        <w:pStyle w:val="Heading1"/>
        <w:pBdr>
          <w:bottom w:val="single" w:sz="6" w:space="1" w:color="2E75B6"/>
        </w:pBdr>
      </w:pPr>
      <w:r>
        <w:t>Architecture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E247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Key Components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1. Ingestion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AWS Transfer Family, Ingestion VPC, Lambda, EC2, S3 VPC Endpoint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Secure public-to-private data handover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2. Storage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Private S3 Bucket, AWS KMS, VPC Endpoints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Encrypted data lake — source of truth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3. Exploitation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 xml:space="preserve">Tableau Server, Athena VPC Endpoint, </w:t>
            </w:r>
            <w:proofErr w:type="spellStart"/>
            <w:r>
              <w:rPr>
                <w:color w:val="2C2C2C"/>
                <w:sz w:val="20"/>
                <w:szCs w:val="20"/>
              </w:rPr>
              <w:t>PrivateLink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Private analytics with no public endpoints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4. Monitoring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proofErr w:type="spellStart"/>
            <w:r>
              <w:rPr>
                <w:color w:val="2C2C2C"/>
                <w:sz w:val="20"/>
                <w:szCs w:val="20"/>
              </w:rPr>
              <w:t>CloudTrail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GuardDuty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Audit, threat detection, and observability</w:t>
            </w:r>
          </w:p>
        </w:tc>
      </w:tr>
    </w:tbl>
    <w:p w:rsidR="00E24742" w:rsidRDefault="00E24742">
      <w:pPr>
        <w:spacing w:before="80" w:after="80"/>
      </w:pPr>
    </w:p>
    <w:p w:rsidR="00E24742" w:rsidRDefault="00C12273">
      <w:pPr>
        <w:pBdr>
          <w:left w:val="single" w:sz="18" w:space="0" w:color="2E75B6"/>
        </w:pBdr>
        <w:shd w:val="clear" w:color="auto" w:fill="D6E4F0"/>
        <w:spacing w:before="200" w:after="100"/>
        <w:ind w:left="200"/>
      </w:pPr>
      <w:proofErr w:type="gramStart"/>
      <w:r>
        <w:rPr>
          <w:sz w:val="28"/>
          <w:szCs w:val="28"/>
        </w:rPr>
        <w:t>📥</w:t>
      </w:r>
      <w:r>
        <w:rPr>
          <w:sz w:val="28"/>
          <w:szCs w:val="28"/>
        </w:rPr>
        <w:t xml:space="preserve">  </w:t>
      </w:r>
      <w:r>
        <w:rPr>
          <w:b/>
          <w:bCs/>
          <w:color w:val="2E75B6"/>
          <w:sz w:val="28"/>
          <w:szCs w:val="28"/>
        </w:rPr>
        <w:t>Layer</w:t>
      </w:r>
      <w:proofErr w:type="gramEnd"/>
      <w:r>
        <w:rPr>
          <w:b/>
          <w:bCs/>
          <w:color w:val="2E75B6"/>
          <w:sz w:val="28"/>
          <w:szCs w:val="28"/>
        </w:rPr>
        <w:t xml:space="preserve"> 1 — Ingestion (Public to Private Handover)</w:t>
      </w:r>
    </w:p>
    <w:p w:rsidR="00E24742" w:rsidRDefault="00C12273">
      <w:pPr>
        <w:spacing w:before="80" w:after="80"/>
      </w:pPr>
      <w:r>
        <w:rPr>
          <w:color w:val="2C2C2C"/>
        </w:rPr>
        <w:t>This layer manages the secure movement of data from the public data.gov.sg endpoint into HDB's private environment.</w:t>
      </w:r>
    </w:p>
    <w:p w:rsidR="00E24742" w:rsidRDefault="00E24742">
      <w:pPr>
        <w:spacing w:before="80" w:after="80"/>
      </w:pP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t xml:space="preserve">Public Entry Point: </w:t>
      </w:r>
      <w:r>
        <w:rPr>
          <w:color w:val="2C2C2C"/>
        </w:rPr>
        <w:t>Data is received via AWS Transfer Family — a secure, public-facing gateway to accept external data transfers.</w:t>
      </w: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t>VPC Segme</w:t>
      </w:r>
      <w:r>
        <w:rPr>
          <w:b/>
          <w:bCs/>
          <w:color w:val="2E75B6"/>
        </w:rPr>
        <w:t xml:space="preserve">ntation: </w:t>
      </w:r>
      <w:r>
        <w:rPr>
          <w:color w:val="2C2C2C"/>
        </w:rPr>
        <w:t>The ingestion process is isolated within its own Ingestion VPC, physically separating the landing zone from the exploitation environment.</w:t>
      </w:r>
    </w:p>
    <w:p w:rsidR="00E24742" w:rsidRDefault="00E24742">
      <w:pPr>
        <w:spacing w:before="80" w:after="80"/>
      </w:pPr>
    </w:p>
    <w:p w:rsidR="00E24742" w:rsidRDefault="00C12273">
      <w:pPr>
        <w:pStyle w:val="Heading3"/>
      </w:pPr>
      <w:r>
        <w:t>Processing Compute</w:t>
      </w:r>
    </w:p>
    <w:p w:rsidR="00E24742" w:rsidRDefault="00C12273">
      <w:pPr>
        <w:pStyle w:val="ListParagraph"/>
        <w:numPr>
          <w:ilvl w:val="1"/>
          <w:numId w:val="2"/>
        </w:numPr>
        <w:spacing w:before="70" w:after="70"/>
      </w:pPr>
      <w:r>
        <w:rPr>
          <w:b/>
          <w:bCs/>
          <w:color w:val="2E75B6"/>
        </w:rPr>
        <w:t xml:space="preserve">Ingestion Lambda: </w:t>
      </w:r>
      <w:r>
        <w:rPr>
          <w:color w:val="2C2C2C"/>
        </w:rPr>
        <w:t>Acts as a trigger for batch jobs and handles smaller coordination tasks.</w:t>
      </w:r>
    </w:p>
    <w:p w:rsidR="00E24742" w:rsidRDefault="00C12273">
      <w:pPr>
        <w:pStyle w:val="ListParagraph"/>
        <w:numPr>
          <w:ilvl w:val="1"/>
          <w:numId w:val="2"/>
        </w:numPr>
        <w:spacing w:before="70" w:after="70"/>
      </w:pPr>
      <w:r>
        <w:rPr>
          <w:b/>
          <w:bCs/>
          <w:color w:val="2E75B6"/>
        </w:rPr>
        <w:t xml:space="preserve">Ingestion EC2: </w:t>
      </w:r>
      <w:r>
        <w:rPr>
          <w:color w:val="2C2C2C"/>
        </w:rPr>
        <w:t>Provides dedicated compute power to process and move large files (&gt;100 MB) efficiently.</w:t>
      </w:r>
    </w:p>
    <w:p w:rsidR="00E24742" w:rsidRDefault="00E24742">
      <w:pPr>
        <w:spacing w:before="80" w:after="80"/>
      </w:pP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lastRenderedPageBreak/>
        <w:t xml:space="preserve">Private Data Transfer: </w:t>
      </w:r>
      <w:r>
        <w:rPr>
          <w:color w:val="2C2C2C"/>
        </w:rPr>
        <w:t>All internal movement to storage is handled via an S3 VP</w:t>
      </w:r>
      <w:r>
        <w:rPr>
          <w:color w:val="2C2C2C"/>
        </w:rPr>
        <w:t>C Endpoint — once data enters the VPC, it never traverses the public internet to reach the storage bucket.</w:t>
      </w:r>
    </w:p>
    <w:p w:rsidR="00E24742" w:rsidRDefault="00E24742">
      <w:pPr>
        <w:spacing w:before="80" w:after="80"/>
      </w:pPr>
    </w:p>
    <w:p w:rsidR="00E24742" w:rsidRDefault="00C12273">
      <w:pPr>
        <w:pBdr>
          <w:left w:val="single" w:sz="12" w:space="0" w:color="2E75B6"/>
        </w:pBdr>
        <w:shd w:val="clear" w:color="auto" w:fill="D6E4F0"/>
        <w:spacing w:before="120" w:after="120"/>
        <w:ind w:left="360"/>
      </w:pPr>
      <w:r>
        <w:rPr>
          <w:i/>
          <w:iCs/>
          <w:color w:val="1F4E79"/>
          <w:sz w:val="20"/>
          <w:szCs w:val="20"/>
        </w:rPr>
        <w:t>💡</w:t>
      </w:r>
      <w:r>
        <w:rPr>
          <w:i/>
          <w:iCs/>
          <w:color w:val="1F4E79"/>
          <w:sz w:val="20"/>
          <w:szCs w:val="20"/>
        </w:rPr>
        <w:t xml:space="preserve"> VPC Segmentation is a critical security control — the ingestion zone and exploitation zone are physically separated networks, preventing lateral </w:t>
      </w:r>
      <w:r>
        <w:rPr>
          <w:i/>
          <w:iCs/>
          <w:color w:val="1F4E79"/>
          <w:sz w:val="20"/>
          <w:szCs w:val="20"/>
        </w:rPr>
        <w:t>movement in the event of a breach.</w:t>
      </w:r>
    </w:p>
    <w:p w:rsidR="00E24742" w:rsidRDefault="00E24742">
      <w:pPr>
        <w:spacing w:before="80" w:after="80"/>
      </w:pPr>
    </w:p>
    <w:p w:rsidR="00E24742" w:rsidRDefault="00C12273">
      <w:pPr>
        <w:pBdr>
          <w:left w:val="single" w:sz="18" w:space="0" w:color="375623"/>
        </w:pBdr>
        <w:shd w:val="clear" w:color="auto" w:fill="E2EFDA"/>
        <w:spacing w:before="200" w:after="100"/>
        <w:ind w:left="200"/>
      </w:pPr>
      <w:proofErr w:type="gramStart"/>
      <w:r>
        <w:rPr>
          <w:sz w:val="28"/>
          <w:szCs w:val="28"/>
        </w:rPr>
        <w:t>🔒</w:t>
      </w:r>
      <w:r>
        <w:rPr>
          <w:sz w:val="28"/>
          <w:szCs w:val="28"/>
        </w:rPr>
        <w:t xml:space="preserve">  </w:t>
      </w:r>
      <w:r>
        <w:rPr>
          <w:b/>
          <w:bCs/>
          <w:color w:val="375623"/>
          <w:sz w:val="28"/>
          <w:szCs w:val="28"/>
        </w:rPr>
        <w:t>Layer</w:t>
      </w:r>
      <w:proofErr w:type="gramEnd"/>
      <w:r>
        <w:rPr>
          <w:b/>
          <w:bCs/>
          <w:color w:val="375623"/>
          <w:sz w:val="28"/>
          <w:szCs w:val="28"/>
        </w:rPr>
        <w:t xml:space="preserve"> 2 — Data Storage &amp; Security (The Data Lake)</w:t>
      </w:r>
    </w:p>
    <w:p w:rsidR="00E24742" w:rsidRDefault="00C12273">
      <w:pPr>
        <w:spacing w:before="80" w:after="80"/>
      </w:pPr>
      <w:r>
        <w:rPr>
          <w:color w:val="2C2C2C"/>
        </w:rPr>
        <w:t>This central layer acts as the Source of Truth and ensures all data is protected according to government security standards.</w:t>
      </w:r>
    </w:p>
    <w:p w:rsidR="00E24742" w:rsidRDefault="00E24742">
      <w:pPr>
        <w:spacing w:before="80" w:after="80"/>
      </w:pP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t xml:space="preserve">Private S3 Bucket: </w:t>
      </w:r>
      <w:r>
        <w:rPr>
          <w:color w:val="2C2C2C"/>
        </w:rPr>
        <w:t>All datasets are stor</w:t>
      </w:r>
      <w:r>
        <w:rPr>
          <w:color w:val="2C2C2C"/>
        </w:rPr>
        <w:t>ed in a private Amazon S3 bucket, accessible only via VPC endpoints — never exposed to the public internet.</w:t>
      </w: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t xml:space="preserve">Encryption at Rest: </w:t>
      </w:r>
      <w:r>
        <w:rPr>
          <w:color w:val="2C2C2C"/>
        </w:rPr>
        <w:t>AWS KMS (Key Management Service) encrypts all stored data. Even if physical storage were compromised, the data remains unreadabl</w:t>
      </w:r>
      <w:r>
        <w:rPr>
          <w:color w:val="2C2C2C"/>
        </w:rPr>
        <w:t>e without the decryption key.</w:t>
      </w: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t xml:space="preserve">Access Control: </w:t>
      </w:r>
      <w:r>
        <w:rPr>
          <w:color w:val="2C2C2C"/>
        </w:rPr>
        <w:t>KMS VPC Endpoints and S3 VPC Endpoints ensure all encryption and retrieval traffic stays within the AWS private backbone.</w:t>
      </w:r>
    </w:p>
    <w:p w:rsidR="00E24742" w:rsidRDefault="00E24742">
      <w:pPr>
        <w:spacing w:before="80" w:after="80"/>
      </w:pPr>
    </w:p>
    <w:p w:rsidR="00E24742" w:rsidRDefault="00C12273">
      <w:pPr>
        <w:pBdr>
          <w:left w:val="single" w:sz="12" w:space="0" w:color="375623"/>
        </w:pBdr>
        <w:shd w:val="clear" w:color="auto" w:fill="E2EFDA"/>
        <w:spacing w:before="120" w:after="120"/>
        <w:ind w:left="360"/>
      </w:pPr>
      <w:r>
        <w:rPr>
          <w:i/>
          <w:iCs/>
          <w:color w:val="375623"/>
          <w:sz w:val="20"/>
          <w:szCs w:val="20"/>
        </w:rPr>
        <w:t>🔑</w:t>
      </w:r>
      <w:r>
        <w:rPr>
          <w:i/>
          <w:iCs/>
          <w:color w:val="375623"/>
          <w:sz w:val="20"/>
          <w:szCs w:val="20"/>
        </w:rPr>
        <w:t xml:space="preserve"> Standard: AES-256 encryption is applied to all data at rest via AWS KMS.</w:t>
      </w:r>
    </w:p>
    <w:p w:rsidR="00E24742" w:rsidRDefault="00E24742">
      <w:pPr>
        <w:spacing w:before="80" w:after="80"/>
      </w:pPr>
    </w:p>
    <w:p w:rsidR="00E24742" w:rsidRDefault="00C12273">
      <w:pPr>
        <w:pBdr>
          <w:left w:val="single" w:sz="18" w:space="0" w:color="7030A0"/>
        </w:pBdr>
        <w:shd w:val="clear" w:color="auto" w:fill="EAD9F7"/>
        <w:spacing w:before="200" w:after="100"/>
        <w:ind w:left="200"/>
      </w:pPr>
      <w:proofErr w:type="gramStart"/>
      <w:r>
        <w:rPr>
          <w:sz w:val="28"/>
          <w:szCs w:val="28"/>
        </w:rPr>
        <w:t>📊</w:t>
      </w:r>
      <w:r>
        <w:rPr>
          <w:sz w:val="28"/>
          <w:szCs w:val="28"/>
        </w:rPr>
        <w:t xml:space="preserve">  </w:t>
      </w:r>
      <w:r>
        <w:rPr>
          <w:b/>
          <w:bCs/>
          <w:color w:val="7030A0"/>
          <w:sz w:val="28"/>
          <w:szCs w:val="28"/>
        </w:rPr>
        <w:t>Layer</w:t>
      </w:r>
      <w:proofErr w:type="gramEnd"/>
      <w:r>
        <w:rPr>
          <w:b/>
          <w:bCs/>
          <w:color w:val="7030A0"/>
          <w:sz w:val="28"/>
          <w:szCs w:val="28"/>
        </w:rPr>
        <w:t xml:space="preserve"> 3 — Data Exploitation (Tableau to Athena)</w:t>
      </w:r>
    </w:p>
    <w:p w:rsidR="00E24742" w:rsidRDefault="00C12273">
      <w:pPr>
        <w:spacing w:before="80" w:after="80"/>
      </w:pPr>
      <w:r>
        <w:rPr>
          <w:color w:val="2C2C2C"/>
        </w:rPr>
        <w:t>This layer enables the data science team to perform analysis while strictly adhering to Private Traffic Flow requirements.</w:t>
      </w:r>
    </w:p>
    <w:p w:rsidR="00E24742" w:rsidRDefault="00E24742">
      <w:pPr>
        <w:spacing w:before="80" w:after="80"/>
      </w:pP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r>
        <w:rPr>
          <w:b/>
          <w:bCs/>
          <w:color w:val="2E75B6"/>
        </w:rPr>
        <w:t xml:space="preserve">Tableau Server (Private VPC): </w:t>
      </w:r>
      <w:r>
        <w:rPr>
          <w:color w:val="2C2C2C"/>
        </w:rPr>
        <w:t>Hosted in a dedicated Private VPC, shielded from direc</w:t>
      </w:r>
      <w:r>
        <w:rPr>
          <w:color w:val="2C2C2C"/>
        </w:rPr>
        <w:t>t public internet exposure.</w:t>
      </w:r>
    </w:p>
    <w:p w:rsidR="00E24742" w:rsidRDefault="00C12273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b/>
          <w:bCs/>
          <w:color w:val="2E75B6"/>
        </w:rPr>
        <w:t>PrivateLink</w:t>
      </w:r>
      <w:proofErr w:type="spellEnd"/>
      <w:r>
        <w:rPr>
          <w:b/>
          <w:bCs/>
          <w:color w:val="2E75B6"/>
        </w:rPr>
        <w:t xml:space="preserve"> Integration: </w:t>
      </w:r>
      <w:r>
        <w:rPr>
          <w:color w:val="2C2C2C"/>
        </w:rPr>
        <w:t>An Athena VPC Endpoint (Interface Endpoint) is used — satisfying the requirement to avoid public endpoints entirely.</w:t>
      </w:r>
    </w:p>
    <w:p w:rsidR="00E24742" w:rsidRDefault="00E24742">
      <w:pPr>
        <w:spacing w:before="80" w:after="80"/>
      </w:pPr>
    </w:p>
    <w:p w:rsidR="00E24742" w:rsidRDefault="00C12273">
      <w:pPr>
        <w:pStyle w:val="Heading3"/>
      </w:pPr>
      <w:r>
        <w:t>Query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4960"/>
      </w:tblGrid>
      <w:tr w:rsidR="00E247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Traffic Path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Tableau Client initiates a query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Internal — within Private VPC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Athena Driver routes the request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Via Athena VPC Endpoint (</w:t>
            </w:r>
            <w:proofErr w:type="spellStart"/>
            <w:r>
              <w:rPr>
                <w:color w:val="2C2C2C"/>
                <w:sz w:val="20"/>
                <w:szCs w:val="20"/>
              </w:rPr>
              <w:t>PrivateLink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Athena queries S3 data lake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AWS Private Network only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Results returned to Tableau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Encrypted (TLS/SSL) — stays private</w:t>
            </w:r>
          </w:p>
        </w:tc>
      </w:tr>
    </w:tbl>
    <w:p w:rsidR="00E24742" w:rsidRDefault="00E24742">
      <w:pPr>
        <w:spacing w:before="80" w:after="80"/>
      </w:pPr>
    </w:p>
    <w:p w:rsidR="00E24742" w:rsidRDefault="00C12273">
      <w:pPr>
        <w:pBdr>
          <w:left w:val="single" w:sz="12" w:space="0" w:color="7030A0"/>
        </w:pBdr>
        <w:shd w:val="clear" w:color="auto" w:fill="EAD9F7"/>
        <w:spacing w:before="120" w:after="120"/>
        <w:ind w:left="360"/>
      </w:pPr>
      <w:r>
        <w:rPr>
          <w:i/>
          <w:iCs/>
          <w:color w:val="7030A0"/>
          <w:sz w:val="20"/>
          <w:szCs w:val="20"/>
        </w:rPr>
        <w:t>🔐</w:t>
      </w:r>
      <w:r>
        <w:rPr>
          <w:i/>
          <w:iCs/>
          <w:color w:val="7030A0"/>
          <w:sz w:val="20"/>
          <w:szCs w:val="20"/>
        </w:rPr>
        <w:t xml:space="preserve"> Encryption in Transit: All Tableau ↔ Athena communication is encrypted via TLS/SSL — protecting data in motion from interception or eavesdropping.</w:t>
      </w:r>
    </w:p>
    <w:p w:rsidR="00E24742" w:rsidRDefault="00E24742">
      <w:pPr>
        <w:spacing w:before="80" w:after="80"/>
      </w:pPr>
    </w:p>
    <w:p w:rsidR="00E24742" w:rsidRDefault="00C12273">
      <w:pPr>
        <w:pBdr>
          <w:left w:val="single" w:sz="18" w:space="0" w:color="C55A11"/>
        </w:pBdr>
        <w:shd w:val="clear" w:color="auto" w:fill="FCE4D6"/>
        <w:spacing w:before="200" w:after="100"/>
        <w:ind w:left="200"/>
      </w:pPr>
      <w:r>
        <w:rPr>
          <w:sz w:val="28"/>
          <w:szCs w:val="28"/>
        </w:rPr>
        <w:t>👁</w:t>
      </w:r>
      <w:proofErr w:type="gramStart"/>
      <w:r>
        <w:rPr>
          <w:sz w:val="28"/>
          <w:szCs w:val="28"/>
        </w:rPr>
        <w:t>️</w:t>
      </w:r>
      <w:r>
        <w:rPr>
          <w:sz w:val="28"/>
          <w:szCs w:val="28"/>
        </w:rPr>
        <w:t xml:space="preserve">  </w:t>
      </w:r>
      <w:r>
        <w:rPr>
          <w:b/>
          <w:bCs/>
          <w:color w:val="C55A11"/>
          <w:sz w:val="28"/>
          <w:szCs w:val="28"/>
        </w:rPr>
        <w:t>Layer</w:t>
      </w:r>
      <w:proofErr w:type="gramEnd"/>
      <w:r>
        <w:rPr>
          <w:b/>
          <w:bCs/>
          <w:color w:val="C55A11"/>
          <w:sz w:val="28"/>
          <w:szCs w:val="28"/>
        </w:rPr>
        <w:t xml:space="preserve"> 4 — Monitoring &amp; Operations</w:t>
      </w:r>
    </w:p>
    <w:p w:rsidR="00E24742" w:rsidRDefault="00C12273">
      <w:pPr>
        <w:spacing w:before="80" w:after="80"/>
      </w:pPr>
      <w:r>
        <w:rPr>
          <w:color w:val="2C2C2C"/>
        </w:rPr>
        <w:t>Continuous oversight is provided across all layers to ensure system health and security compliance.</w:t>
      </w:r>
    </w:p>
    <w:p w:rsidR="00E24742" w:rsidRDefault="00E247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E247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b/>
                <w:bCs/>
                <w:color w:val="FFFFFF"/>
                <w:sz w:val="20"/>
                <w:szCs w:val="20"/>
              </w:rPr>
              <w:t>What It Monitors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 xml:space="preserve">AWS </w:t>
            </w:r>
            <w:proofErr w:type="spellStart"/>
            <w:r>
              <w:rPr>
                <w:color w:val="2C2C2C"/>
                <w:sz w:val="20"/>
                <w:szCs w:val="20"/>
              </w:rPr>
              <w:t>CloudTrail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Audit &amp; Governance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Logs all API activity — full audit trail of who accessed what data and when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 xml:space="preserve">Amazon </w:t>
            </w:r>
            <w:proofErr w:type="spellStart"/>
            <w:r>
              <w:rPr>
                <w:color w:val="2C2C2C"/>
                <w:sz w:val="20"/>
                <w:szCs w:val="20"/>
              </w:rPr>
              <w:t>GuardDuty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Threat Detection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 xml:space="preserve">Continuously monitors for malicious activity or unauthorized </w:t>
            </w:r>
            <w:proofErr w:type="spellStart"/>
            <w:r>
              <w:rPr>
                <w:color w:val="2C2C2C"/>
                <w:sz w:val="20"/>
                <w:szCs w:val="20"/>
              </w:rPr>
              <w:t>behavior</w:t>
            </w:r>
            <w:proofErr w:type="spellEnd"/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 xml:space="preserve">Amazon </w:t>
            </w:r>
            <w:proofErr w:type="spellStart"/>
            <w:r>
              <w:rPr>
                <w:color w:val="2C2C2C"/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Observability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742" w:rsidRDefault="00C12273">
            <w:r>
              <w:rPr>
                <w:color w:val="2C2C2C"/>
                <w:sz w:val="20"/>
                <w:szCs w:val="20"/>
              </w:rPr>
              <w:t>Collects logs and metrics from Lambda, EC2, and Tableau Server in real time</w:t>
            </w:r>
          </w:p>
        </w:tc>
      </w:tr>
    </w:tbl>
    <w:p w:rsidR="00E24742" w:rsidRDefault="00E24742">
      <w:pPr>
        <w:spacing w:before="80" w:after="80"/>
      </w:pPr>
    </w:p>
    <w:p w:rsidR="00E24742" w:rsidRDefault="00C12273">
      <w:pPr>
        <w:pStyle w:val="Heading1"/>
        <w:pBdr>
          <w:bottom w:val="single" w:sz="6" w:space="1" w:color="2E75B6"/>
        </w:pBdr>
      </w:pPr>
      <w:r>
        <w:t>Encryption Reference</w:t>
      </w:r>
    </w:p>
    <w:p w:rsidR="00E24742" w:rsidRDefault="00C12273">
      <w:pPr>
        <w:spacing w:before="80" w:after="80"/>
      </w:pPr>
      <w:r>
        <w:rPr>
          <w:color w:val="2C2C2C"/>
        </w:rPr>
        <w:t>The architecture enforces two distinct types of encryption to protect data throughout its lifecycle.</w:t>
      </w:r>
    </w:p>
    <w:p w:rsidR="00E24742" w:rsidRDefault="00E247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24742" w:rsidRDefault="00C12273">
            <w:r>
              <w:rPr>
                <w:sz w:val="26"/>
                <w:szCs w:val="26"/>
              </w:rPr>
              <w:t>🚀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b/>
                <w:bCs/>
                <w:color w:val="2E75B6"/>
                <w:sz w:val="26"/>
                <w:szCs w:val="26"/>
              </w:rPr>
              <w:t>Encryption in Transit (Data in Motion)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2E75B6"/>
                <w:sz w:val="21"/>
                <w:szCs w:val="21"/>
              </w:rPr>
              <w:t xml:space="preserve">Definition: </w:t>
            </w:r>
            <w:r>
              <w:rPr>
                <w:color w:val="2C2C2C"/>
                <w:sz w:val="21"/>
                <w:szCs w:val="21"/>
              </w:rPr>
              <w:t>Protects data while it is actively moving across a network between two points.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2E75B6"/>
                <w:sz w:val="21"/>
                <w:szCs w:val="21"/>
              </w:rPr>
              <w:t xml:space="preserve">Purpose: </w:t>
            </w:r>
            <w:r>
              <w:rPr>
                <w:color w:val="2C2C2C"/>
                <w:sz w:val="21"/>
                <w:szCs w:val="21"/>
              </w:rPr>
              <w:t>Prevents interception, eavesdropping, or man-in-the-middle attacks while data travels over the internet or private AWS network.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2E75B6"/>
                <w:sz w:val="21"/>
                <w:szCs w:val="21"/>
              </w:rPr>
              <w:t xml:space="preserve">Implementation: </w:t>
            </w:r>
            <w:r>
              <w:rPr>
                <w:color w:val="2C2C2C"/>
                <w:sz w:val="21"/>
                <w:szCs w:val="21"/>
              </w:rPr>
              <w:t>The Athena VPC Endpoint uses TLS/SSL to encrypt all query traffic between Tableau and Athena.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2E75B6"/>
                <w:sz w:val="21"/>
                <w:szCs w:val="21"/>
              </w:rPr>
              <w:t xml:space="preserve">Protocol: </w:t>
            </w:r>
            <w:r>
              <w:rPr>
                <w:color w:val="2C2C2C"/>
                <w:sz w:val="21"/>
                <w:szCs w:val="21"/>
              </w:rPr>
              <w:t>HTTPS (TLS/SSL)</w:t>
            </w:r>
          </w:p>
        </w:tc>
      </w:tr>
    </w:tbl>
    <w:p w:rsidR="00E24742" w:rsidRDefault="00E247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24742" w:rsidRDefault="00C12273">
            <w:r>
              <w:rPr>
                <w:sz w:val="26"/>
                <w:szCs w:val="26"/>
              </w:rPr>
              <w:t>🔒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b/>
                <w:bCs/>
                <w:color w:val="375623"/>
                <w:sz w:val="26"/>
                <w:szCs w:val="26"/>
              </w:rPr>
              <w:t>Encryption at Rest (Data in Storage)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375623"/>
                <w:sz w:val="21"/>
                <w:szCs w:val="21"/>
              </w:rPr>
              <w:t xml:space="preserve">Definition: </w:t>
            </w:r>
            <w:r>
              <w:rPr>
                <w:color w:val="2C2C2C"/>
                <w:sz w:val="21"/>
                <w:szCs w:val="21"/>
              </w:rPr>
              <w:t>Protects data that is stationary and stored on a physical or digital medium, such as a hard drive or cloud bucket.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375623"/>
                <w:sz w:val="21"/>
                <w:szCs w:val="21"/>
              </w:rPr>
              <w:t xml:space="preserve">Purpose: </w:t>
            </w:r>
            <w:r>
              <w:rPr>
                <w:color w:val="2C2C2C"/>
                <w:sz w:val="21"/>
                <w:szCs w:val="21"/>
              </w:rPr>
              <w:t>Ensures that even if someone physically steals a hard drive or gains unauthorized access to the underlying S3 storage, the data remains unreadable without the specific decryption key.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375623"/>
                <w:sz w:val="21"/>
                <w:szCs w:val="21"/>
              </w:rPr>
              <w:t xml:space="preserve">Implementation: </w:t>
            </w:r>
            <w:r>
              <w:rPr>
                <w:color w:val="2C2C2C"/>
                <w:sz w:val="21"/>
                <w:szCs w:val="21"/>
              </w:rPr>
              <w:t>AWS KMS encrypts the Amazon S3 (Private) bucket — all i</w:t>
            </w:r>
            <w:r>
              <w:rPr>
                <w:color w:val="2C2C2C"/>
                <w:sz w:val="21"/>
                <w:szCs w:val="21"/>
              </w:rPr>
              <w:t>ngested files are protected while stored in the data lake.</w:t>
            </w:r>
          </w:p>
        </w:tc>
      </w:tr>
      <w:tr w:rsidR="00E2474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E24742" w:rsidRDefault="00C12273">
            <w:r>
              <w:rPr>
                <w:b/>
                <w:bCs/>
                <w:color w:val="375623"/>
                <w:sz w:val="21"/>
                <w:szCs w:val="21"/>
              </w:rPr>
              <w:t xml:space="preserve">Standard: </w:t>
            </w:r>
            <w:r>
              <w:rPr>
                <w:color w:val="2C2C2C"/>
                <w:sz w:val="21"/>
                <w:szCs w:val="21"/>
              </w:rPr>
              <w:t>AES-256</w:t>
            </w:r>
          </w:p>
        </w:tc>
      </w:tr>
    </w:tbl>
    <w:p w:rsidR="00E24742" w:rsidRDefault="00E24742">
      <w:pPr>
        <w:spacing w:before="80" w:after="80"/>
      </w:pPr>
    </w:p>
    <w:p w:rsidR="00E24742" w:rsidRDefault="00C12273">
      <w:pPr>
        <w:pBdr>
          <w:top w:val="single" w:sz="6" w:space="1" w:color="2E75B6"/>
        </w:pBdr>
        <w:spacing w:before="400"/>
      </w:pPr>
      <w:r>
        <w:rPr>
          <w:i/>
          <w:iCs/>
          <w:color w:val="888888"/>
          <w:sz w:val="18"/>
          <w:szCs w:val="18"/>
        </w:rPr>
        <w:lastRenderedPageBreak/>
        <w:t xml:space="preserve">Project Architecture — End-to-End Secure Data </w:t>
      </w:r>
      <w:proofErr w:type="gramStart"/>
      <w:r>
        <w:rPr>
          <w:i/>
          <w:iCs/>
          <w:color w:val="888888"/>
          <w:sz w:val="18"/>
          <w:szCs w:val="18"/>
        </w:rPr>
        <w:t>Pipeline  |</w:t>
      </w:r>
      <w:proofErr w:type="gramEnd"/>
      <w:r>
        <w:rPr>
          <w:i/>
          <w:iCs/>
          <w:color w:val="888888"/>
          <w:sz w:val="18"/>
          <w:szCs w:val="18"/>
        </w:rPr>
        <w:t xml:space="preserve">  AWS Infrastructure Design</w:t>
      </w:r>
    </w:p>
    <w:sectPr w:rsidR="00E247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118F"/>
    <w:multiLevelType w:val="hybridMultilevel"/>
    <w:tmpl w:val="88FEF44A"/>
    <w:lvl w:ilvl="0" w:tplc="68169952">
      <w:start w:val="1"/>
      <w:numFmt w:val="bullet"/>
      <w:lvlText w:val="•"/>
      <w:lvlJc w:val="left"/>
      <w:pPr>
        <w:ind w:left="720" w:hanging="360"/>
      </w:pPr>
    </w:lvl>
    <w:lvl w:ilvl="1" w:tplc="774294DC">
      <w:start w:val="1"/>
      <w:numFmt w:val="bullet"/>
      <w:lvlText w:val="◦"/>
      <w:lvlJc w:val="left"/>
      <w:pPr>
        <w:ind w:left="1080" w:hanging="360"/>
      </w:pPr>
    </w:lvl>
    <w:lvl w:ilvl="2" w:tplc="68A01860">
      <w:numFmt w:val="decimal"/>
      <w:lvlText w:val=""/>
      <w:lvlJc w:val="left"/>
    </w:lvl>
    <w:lvl w:ilvl="3" w:tplc="851E6386">
      <w:numFmt w:val="decimal"/>
      <w:lvlText w:val=""/>
      <w:lvlJc w:val="left"/>
    </w:lvl>
    <w:lvl w:ilvl="4" w:tplc="957E794C">
      <w:numFmt w:val="decimal"/>
      <w:lvlText w:val=""/>
      <w:lvlJc w:val="left"/>
    </w:lvl>
    <w:lvl w:ilvl="5" w:tplc="C8260400">
      <w:numFmt w:val="decimal"/>
      <w:lvlText w:val=""/>
      <w:lvlJc w:val="left"/>
    </w:lvl>
    <w:lvl w:ilvl="6" w:tplc="EBF8260C">
      <w:numFmt w:val="decimal"/>
      <w:lvlText w:val=""/>
      <w:lvlJc w:val="left"/>
    </w:lvl>
    <w:lvl w:ilvl="7" w:tplc="FB3CC3B8">
      <w:numFmt w:val="decimal"/>
      <w:lvlText w:val=""/>
      <w:lvlJc w:val="left"/>
    </w:lvl>
    <w:lvl w:ilvl="8" w:tplc="F5207A92">
      <w:numFmt w:val="decimal"/>
      <w:lvlText w:val=""/>
      <w:lvlJc w:val="left"/>
    </w:lvl>
  </w:abstractNum>
  <w:abstractNum w:abstractNumId="1" w15:restartNumberingAfterBreak="0">
    <w:nsid w:val="135D7832"/>
    <w:multiLevelType w:val="hybridMultilevel"/>
    <w:tmpl w:val="CC94F71E"/>
    <w:lvl w:ilvl="0" w:tplc="F2F069BE">
      <w:start w:val="1"/>
      <w:numFmt w:val="bullet"/>
      <w:lvlText w:val="●"/>
      <w:lvlJc w:val="left"/>
      <w:pPr>
        <w:ind w:left="720" w:hanging="360"/>
      </w:pPr>
    </w:lvl>
    <w:lvl w:ilvl="1" w:tplc="09FC77F2">
      <w:start w:val="1"/>
      <w:numFmt w:val="bullet"/>
      <w:lvlText w:val="○"/>
      <w:lvlJc w:val="left"/>
      <w:pPr>
        <w:ind w:left="1440" w:hanging="360"/>
      </w:pPr>
    </w:lvl>
    <w:lvl w:ilvl="2" w:tplc="19AE867C">
      <w:start w:val="1"/>
      <w:numFmt w:val="bullet"/>
      <w:lvlText w:val="■"/>
      <w:lvlJc w:val="left"/>
      <w:pPr>
        <w:ind w:left="2160" w:hanging="360"/>
      </w:pPr>
    </w:lvl>
    <w:lvl w:ilvl="3" w:tplc="C696F8F4">
      <w:start w:val="1"/>
      <w:numFmt w:val="bullet"/>
      <w:lvlText w:val="●"/>
      <w:lvlJc w:val="left"/>
      <w:pPr>
        <w:ind w:left="2880" w:hanging="360"/>
      </w:pPr>
    </w:lvl>
    <w:lvl w:ilvl="4" w:tplc="2C926976">
      <w:start w:val="1"/>
      <w:numFmt w:val="bullet"/>
      <w:lvlText w:val="○"/>
      <w:lvlJc w:val="left"/>
      <w:pPr>
        <w:ind w:left="3600" w:hanging="360"/>
      </w:pPr>
    </w:lvl>
    <w:lvl w:ilvl="5" w:tplc="349E0B1A">
      <w:start w:val="1"/>
      <w:numFmt w:val="bullet"/>
      <w:lvlText w:val="■"/>
      <w:lvlJc w:val="left"/>
      <w:pPr>
        <w:ind w:left="4320" w:hanging="360"/>
      </w:pPr>
    </w:lvl>
    <w:lvl w:ilvl="6" w:tplc="2E6418AE">
      <w:start w:val="1"/>
      <w:numFmt w:val="bullet"/>
      <w:lvlText w:val="●"/>
      <w:lvlJc w:val="left"/>
      <w:pPr>
        <w:ind w:left="5040" w:hanging="360"/>
      </w:pPr>
    </w:lvl>
    <w:lvl w:ilvl="7" w:tplc="31341DA8">
      <w:start w:val="1"/>
      <w:numFmt w:val="bullet"/>
      <w:lvlText w:val="●"/>
      <w:lvlJc w:val="left"/>
      <w:pPr>
        <w:ind w:left="5760" w:hanging="360"/>
      </w:pPr>
    </w:lvl>
    <w:lvl w:ilvl="8" w:tplc="0690F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742"/>
    <w:rsid w:val="00C12273"/>
    <w:rsid w:val="00E2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CB3A1F-EC4B-4FBB-B2CA-973E6B67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C2C2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temp acc</cp:lastModifiedBy>
  <cp:revision>2</cp:revision>
  <dcterms:created xsi:type="dcterms:W3CDTF">2026-02-19T05:01:00Z</dcterms:created>
  <dcterms:modified xsi:type="dcterms:W3CDTF">2026-02-19T05:01:00Z</dcterms:modified>
</cp:coreProperties>
</file>