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6F72" w14:textId="77777777" w:rsidR="00737430" w:rsidRPr="00203BC5" w:rsidRDefault="00000000" w:rsidP="00203BC5">
      <w:pPr>
        <w:pStyle w:val="Heading1"/>
        <w:jc w:val="center"/>
        <w:rPr>
          <w:rFonts w:cstheme="majorHAnsi"/>
          <w:sz w:val="22"/>
          <w:szCs w:val="22"/>
        </w:rPr>
      </w:pPr>
      <w:r w:rsidRPr="00203BC5">
        <w:rPr>
          <w:rFonts w:cstheme="majorHAnsi"/>
          <w:sz w:val="22"/>
          <w:szCs w:val="22"/>
        </w:rPr>
        <w:t xml:space="preserve">TensorFlow vs </w:t>
      </w:r>
      <w:proofErr w:type="spellStart"/>
      <w:r w:rsidRPr="00203BC5">
        <w:rPr>
          <w:rFonts w:cstheme="majorHAnsi"/>
          <w:sz w:val="22"/>
          <w:szCs w:val="22"/>
        </w:rPr>
        <w:t>PyTorch</w:t>
      </w:r>
      <w:proofErr w:type="spellEnd"/>
      <w:r w:rsidRPr="00203BC5">
        <w:rPr>
          <w:rFonts w:cstheme="majorHAnsi"/>
          <w:sz w:val="22"/>
          <w:szCs w:val="22"/>
        </w:rPr>
        <w:t>: A Comparative Analysis</w:t>
      </w:r>
    </w:p>
    <w:p w14:paraId="1E9F25C1" w14:textId="77777777" w:rsidR="00203BC5" w:rsidRPr="00203BC5" w:rsidRDefault="00203BC5" w:rsidP="00203BC5">
      <w:pPr>
        <w:rPr>
          <w:rFonts w:asciiTheme="majorHAnsi" w:hAnsiTheme="majorHAnsi" w:cstheme="majorHAnsi"/>
        </w:rPr>
      </w:pPr>
    </w:p>
    <w:p w14:paraId="4F171000" w14:textId="77777777" w:rsidR="00203BC5" w:rsidRPr="00203BC5" w:rsidRDefault="00203BC5" w:rsidP="00203BC5">
      <w:pPr>
        <w:keepNext/>
        <w:keepLines/>
        <w:spacing w:after="0"/>
        <w:outlineLvl w:val="1"/>
        <w:rPr>
          <w:rFonts w:asciiTheme="majorHAnsi" w:eastAsiaTheme="majorEastAsia" w:hAnsiTheme="majorHAnsi" w:cstheme="majorHAnsi"/>
          <w:color w:val="000000" w:themeColor="text1"/>
        </w:rPr>
      </w:pPr>
      <w:r w:rsidRPr="00203BC5">
        <w:rPr>
          <w:rFonts w:asciiTheme="majorHAnsi" w:eastAsiaTheme="majorEastAsia" w:hAnsiTheme="majorHAnsi" w:cstheme="majorHAnsi"/>
          <w:b/>
          <w:bCs/>
          <w:color w:val="000000" w:themeColor="text1"/>
        </w:rPr>
        <w:t xml:space="preserve">Name: </w:t>
      </w:r>
      <w:r w:rsidRPr="00203BC5">
        <w:rPr>
          <w:rFonts w:asciiTheme="majorHAnsi" w:eastAsiaTheme="majorEastAsia" w:hAnsiTheme="majorHAnsi" w:cstheme="majorHAnsi"/>
          <w:color w:val="000000" w:themeColor="text1"/>
        </w:rPr>
        <w:t>Christen Robinson</w:t>
      </w:r>
    </w:p>
    <w:p w14:paraId="42CDAE56" w14:textId="45426056" w:rsidR="00203BC5" w:rsidRPr="00203BC5" w:rsidRDefault="00203BC5" w:rsidP="00203BC5">
      <w:pPr>
        <w:pStyle w:val="Heading1"/>
        <w:shd w:val="clear" w:color="auto" w:fill="FFFFFF"/>
        <w:spacing w:before="0"/>
        <w:rPr>
          <w:rFonts w:eastAsia="Times New Roman" w:cstheme="majorHAnsi"/>
          <w:b w:val="0"/>
          <w:bCs w:val="0"/>
          <w:color w:val="000000" w:themeColor="text1"/>
          <w:kern w:val="36"/>
          <w:sz w:val="22"/>
          <w:szCs w:val="22"/>
        </w:rPr>
      </w:pPr>
      <w:r w:rsidRPr="00203BC5">
        <w:rPr>
          <w:rFonts w:cstheme="majorHAnsi"/>
          <w:color w:val="000000" w:themeColor="text1"/>
          <w:sz w:val="22"/>
          <w:szCs w:val="22"/>
        </w:rPr>
        <w:t xml:space="preserve">Assignment: </w:t>
      </w:r>
      <w:r w:rsidRPr="00203BC5">
        <w:rPr>
          <w:rFonts w:eastAsia="Times New Roman" w:cstheme="majorHAnsi"/>
          <w:b w:val="0"/>
          <w:bCs w:val="0"/>
          <w:color w:val="000000" w:themeColor="text1"/>
          <w:kern w:val="36"/>
          <w:sz w:val="22"/>
          <w:szCs w:val="22"/>
        </w:rPr>
        <w:t>A01 A Comparative Analysis of M</w:t>
      </w:r>
      <w:r w:rsidRPr="00203BC5">
        <w:rPr>
          <w:rFonts w:eastAsia="Times New Roman" w:cstheme="majorHAnsi"/>
          <w:b w:val="0"/>
          <w:bCs w:val="0"/>
          <w:color w:val="000000" w:themeColor="text1"/>
          <w:kern w:val="36"/>
          <w:sz w:val="22"/>
          <w:szCs w:val="22"/>
        </w:rPr>
        <w:t>L &amp;</w:t>
      </w:r>
      <w:r w:rsidRPr="00203BC5">
        <w:rPr>
          <w:rFonts w:eastAsia="Times New Roman" w:cstheme="majorHAnsi"/>
          <w:b w:val="0"/>
          <w:bCs w:val="0"/>
          <w:color w:val="000000" w:themeColor="text1"/>
          <w:kern w:val="36"/>
          <w:sz w:val="22"/>
          <w:szCs w:val="22"/>
        </w:rPr>
        <w:t xml:space="preserve"> D</w:t>
      </w:r>
      <w:r w:rsidRPr="00203BC5">
        <w:rPr>
          <w:rFonts w:eastAsia="Times New Roman" w:cstheme="majorHAnsi"/>
          <w:b w:val="0"/>
          <w:bCs w:val="0"/>
          <w:color w:val="000000" w:themeColor="text1"/>
          <w:kern w:val="36"/>
          <w:sz w:val="22"/>
          <w:szCs w:val="22"/>
        </w:rPr>
        <w:t>L</w:t>
      </w:r>
      <w:r w:rsidRPr="00203BC5">
        <w:rPr>
          <w:rFonts w:eastAsia="Times New Roman" w:cstheme="majorHAnsi"/>
          <w:b w:val="0"/>
          <w:bCs w:val="0"/>
          <w:color w:val="000000" w:themeColor="text1"/>
          <w:kern w:val="36"/>
          <w:sz w:val="22"/>
          <w:szCs w:val="22"/>
        </w:rPr>
        <w:t xml:space="preserve"> Tools and Frameworks</w:t>
      </w:r>
    </w:p>
    <w:p w14:paraId="67A5E704" w14:textId="77777777" w:rsidR="00203BC5" w:rsidRPr="00203BC5" w:rsidRDefault="00203BC5" w:rsidP="00203BC5">
      <w:pPr>
        <w:spacing w:after="0"/>
        <w:rPr>
          <w:rFonts w:asciiTheme="majorHAnsi" w:eastAsia="Times New Roman" w:hAnsiTheme="majorHAnsi" w:cstheme="majorHAnsi"/>
        </w:rPr>
      </w:pPr>
      <w:r w:rsidRPr="00203BC5">
        <w:rPr>
          <w:rFonts w:asciiTheme="majorHAnsi" w:hAnsiTheme="majorHAnsi" w:cstheme="majorHAnsi"/>
          <w:b/>
          <w:bCs/>
          <w:color w:val="000000" w:themeColor="text1"/>
        </w:rPr>
        <w:t>Course:</w:t>
      </w:r>
      <w:r w:rsidRPr="00203BC5">
        <w:rPr>
          <w:rFonts w:asciiTheme="majorHAnsi" w:hAnsiTheme="majorHAnsi" w:cstheme="majorHAnsi"/>
          <w:color w:val="000000" w:themeColor="text1"/>
        </w:rPr>
        <w:t xml:space="preserve"> 6262 ITAI 2376 Deep Learning Artificial Intel-RT-16337</w:t>
      </w:r>
    </w:p>
    <w:p w14:paraId="1ED7FC23" w14:textId="77777777" w:rsidR="00203BC5" w:rsidRPr="00203BC5" w:rsidRDefault="00203BC5" w:rsidP="00203BC5">
      <w:pPr>
        <w:rPr>
          <w:rFonts w:asciiTheme="majorHAnsi" w:hAnsiTheme="majorHAnsi" w:cstheme="majorHAnsi"/>
        </w:rPr>
      </w:pPr>
    </w:p>
    <w:p w14:paraId="0FE32B7A" w14:textId="77777777" w:rsidR="00737430" w:rsidRPr="00203BC5" w:rsidRDefault="00000000">
      <w:pPr>
        <w:rPr>
          <w:rFonts w:asciiTheme="majorHAnsi" w:hAnsiTheme="majorHAnsi" w:cstheme="majorHAnsi"/>
        </w:rPr>
      </w:pPr>
      <w:r w:rsidRPr="00203BC5">
        <w:rPr>
          <w:rFonts w:asciiTheme="majorHAnsi" w:hAnsiTheme="majorHAnsi" w:cstheme="majorHAnsi"/>
          <w:b/>
          <w:bCs/>
        </w:rPr>
        <w:t>Executive Summary</w:t>
      </w:r>
      <w:r w:rsidRPr="00203BC5">
        <w:rPr>
          <w:rFonts w:asciiTheme="majorHAnsi" w:hAnsiTheme="majorHAnsi" w:cstheme="majorHAnsi"/>
        </w:rPr>
        <w:br/>
        <w:t>TensorFlow and PyTorch represent the two dominant deep learning frameworks, collectively powering over 80% of artificial intelligence projects worldwide. This report examines their origins, key features, real-world applications, and comparative strengths to guide framework selection for various use cases.</w:t>
      </w:r>
    </w:p>
    <w:p w14:paraId="1907B09A" w14:textId="77777777" w:rsidR="00737430" w:rsidRPr="00203BC5" w:rsidRDefault="00000000">
      <w:pPr>
        <w:rPr>
          <w:rFonts w:asciiTheme="majorHAnsi" w:hAnsiTheme="majorHAnsi" w:cstheme="majorHAnsi"/>
        </w:rPr>
      </w:pPr>
      <w:r w:rsidRPr="00203BC5">
        <w:rPr>
          <w:rFonts w:asciiTheme="majorHAnsi" w:hAnsiTheme="majorHAnsi" w:cstheme="majorHAnsi"/>
          <w:b/>
          <w:bCs/>
        </w:rPr>
        <w:t>Background and Development</w:t>
      </w:r>
      <w:r w:rsidRPr="00203BC5">
        <w:rPr>
          <w:rFonts w:asciiTheme="majorHAnsi" w:hAnsiTheme="majorHAnsi" w:cstheme="majorHAnsi"/>
        </w:rPr>
        <w:br/>
        <w:t>TensorFlow, developed by Google Brain and open-sourced in 2015, focuses on production-scale machine learning and enterprise deployment. PyTorch, released by Facebook AI Research in 2017 and now governed by the Linux Foundation, prioritizes research flexibility and Pythonic design.</w:t>
      </w:r>
    </w:p>
    <w:p w14:paraId="570ED025" w14:textId="77777777" w:rsidR="00737430" w:rsidRPr="00203BC5" w:rsidRDefault="00000000">
      <w:pPr>
        <w:rPr>
          <w:rFonts w:asciiTheme="majorHAnsi" w:hAnsiTheme="majorHAnsi" w:cstheme="majorHAnsi"/>
        </w:rPr>
      </w:pPr>
      <w:r w:rsidRPr="00203BC5">
        <w:rPr>
          <w:rFonts w:asciiTheme="majorHAnsi" w:hAnsiTheme="majorHAnsi" w:cstheme="majorHAnsi"/>
          <w:b/>
          <w:bCs/>
        </w:rPr>
        <w:t>Key Features</w:t>
      </w:r>
      <w:r w:rsidRPr="00203BC5">
        <w:rPr>
          <w:rFonts w:asciiTheme="majorHAnsi" w:hAnsiTheme="majorHAnsi" w:cstheme="majorHAnsi"/>
        </w:rPr>
        <w:br/>
        <w:t>TensorFlow excels in production deployment, offering TensorFlow Lite, TensorFlow.js, TensorFlow Serving, Keras integration, and TensorBoard visualization. PyTorch offers dynamic computational graphs, intuitive debugging, modular libraries, and strong research tooling.</w:t>
      </w:r>
    </w:p>
    <w:p w14:paraId="6E54113A" w14:textId="77777777" w:rsidR="00737430" w:rsidRPr="00203BC5" w:rsidRDefault="00000000">
      <w:pPr>
        <w:rPr>
          <w:rFonts w:asciiTheme="majorHAnsi" w:hAnsiTheme="majorHAnsi" w:cstheme="majorHAnsi"/>
        </w:rPr>
      </w:pPr>
      <w:r w:rsidRPr="00203BC5">
        <w:rPr>
          <w:rFonts w:asciiTheme="majorHAnsi" w:hAnsiTheme="majorHAnsi" w:cstheme="majorHAnsi"/>
          <w:b/>
          <w:bCs/>
        </w:rPr>
        <w:t>Real-World Applications</w:t>
      </w:r>
      <w:r w:rsidRPr="00203BC5">
        <w:rPr>
          <w:rFonts w:asciiTheme="majorHAnsi" w:hAnsiTheme="majorHAnsi" w:cstheme="majorHAnsi"/>
        </w:rPr>
        <w:br/>
        <w:t>TensorFlow powers systems such as Google Translate, Airbnb search ranking, and Uber’s real-time predictions. PyTorch supports Tesla Autopilot, Meta’s content moderation, Hugging Face Transformers, and OpenAI research.</w:t>
      </w:r>
    </w:p>
    <w:p w14:paraId="2A25CC97" w14:textId="77777777" w:rsidR="00737430" w:rsidRPr="00203BC5" w:rsidRDefault="00000000">
      <w:pPr>
        <w:rPr>
          <w:rFonts w:asciiTheme="majorHAnsi" w:hAnsiTheme="majorHAnsi" w:cstheme="majorHAnsi"/>
        </w:rPr>
      </w:pPr>
      <w:r w:rsidRPr="00203BC5">
        <w:rPr>
          <w:rFonts w:asciiTheme="majorHAnsi" w:hAnsiTheme="majorHAnsi" w:cstheme="majorHAnsi"/>
          <w:b/>
          <w:bCs/>
        </w:rPr>
        <w:t>Comparative Analysis</w:t>
      </w:r>
      <w:r w:rsidRPr="00203BC5">
        <w:rPr>
          <w:rFonts w:asciiTheme="majorHAnsi" w:hAnsiTheme="majorHAnsi" w:cstheme="majorHAnsi"/>
        </w:rPr>
        <w:br/>
        <w:t>PyTorch offers a gentler learning curve and superior debugging, while TensorFlow delivers better performance optimization, mobile deployment, and enterprise scalability.</w:t>
      </w:r>
    </w:p>
    <w:p w14:paraId="072693B3" w14:textId="77777777" w:rsidR="00737430" w:rsidRPr="00203BC5" w:rsidRDefault="00000000">
      <w:pPr>
        <w:rPr>
          <w:rFonts w:asciiTheme="majorHAnsi" w:hAnsiTheme="majorHAnsi" w:cstheme="majorHAnsi"/>
        </w:rPr>
      </w:pPr>
      <w:r w:rsidRPr="00203BC5">
        <w:rPr>
          <w:rFonts w:asciiTheme="majorHAnsi" w:hAnsiTheme="majorHAnsi" w:cstheme="majorHAnsi"/>
          <w:b/>
          <w:bCs/>
        </w:rPr>
        <w:t>Recommendations</w:t>
      </w:r>
      <w:r w:rsidRPr="00203BC5">
        <w:rPr>
          <w:rFonts w:asciiTheme="majorHAnsi" w:hAnsiTheme="majorHAnsi" w:cstheme="majorHAnsi"/>
        </w:rPr>
        <w:br/>
        <w:t xml:space="preserve">Choose TensorFlow for production-first, mobile, or large-scale systems. Choose PyTorch for research, experimentation, and NLP-focused projects. Learning both </w:t>
      </w:r>
      <w:proofErr w:type="gramStart"/>
      <w:r w:rsidRPr="00203BC5">
        <w:rPr>
          <w:rFonts w:asciiTheme="majorHAnsi" w:hAnsiTheme="majorHAnsi" w:cstheme="majorHAnsi"/>
        </w:rPr>
        <w:t>provides</w:t>
      </w:r>
      <w:proofErr w:type="gramEnd"/>
      <w:r w:rsidRPr="00203BC5">
        <w:rPr>
          <w:rFonts w:asciiTheme="majorHAnsi" w:hAnsiTheme="majorHAnsi" w:cstheme="majorHAnsi"/>
        </w:rPr>
        <w:t xml:space="preserve"> the strongest career advantage.</w:t>
      </w:r>
    </w:p>
    <w:p w14:paraId="6DFD0182" w14:textId="77777777" w:rsidR="00737430" w:rsidRPr="00203BC5" w:rsidRDefault="00000000">
      <w:pPr>
        <w:rPr>
          <w:rFonts w:asciiTheme="majorHAnsi" w:hAnsiTheme="majorHAnsi" w:cstheme="majorHAnsi"/>
        </w:rPr>
      </w:pPr>
      <w:r w:rsidRPr="00203BC5">
        <w:rPr>
          <w:rFonts w:asciiTheme="majorHAnsi" w:hAnsiTheme="majorHAnsi" w:cstheme="majorHAnsi"/>
          <w:b/>
          <w:bCs/>
        </w:rPr>
        <w:t>Conclusion</w:t>
      </w:r>
      <w:r w:rsidRPr="00203BC5">
        <w:rPr>
          <w:rFonts w:asciiTheme="majorHAnsi" w:hAnsiTheme="majorHAnsi" w:cstheme="majorHAnsi"/>
        </w:rPr>
        <w:br/>
        <w:t>Both frameworks are converging in capabilities, and mastering fundamentals is more important than framework preference.</w:t>
      </w:r>
    </w:p>
    <w:sectPr w:rsidR="00737430" w:rsidRPr="00203B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265365">
    <w:abstractNumId w:val="8"/>
  </w:num>
  <w:num w:numId="2" w16cid:durableId="1846625112">
    <w:abstractNumId w:val="6"/>
  </w:num>
  <w:num w:numId="3" w16cid:durableId="224533212">
    <w:abstractNumId w:val="5"/>
  </w:num>
  <w:num w:numId="4" w16cid:durableId="887376123">
    <w:abstractNumId w:val="4"/>
  </w:num>
  <w:num w:numId="5" w16cid:durableId="79760852">
    <w:abstractNumId w:val="7"/>
  </w:num>
  <w:num w:numId="6" w16cid:durableId="909853561">
    <w:abstractNumId w:val="3"/>
  </w:num>
  <w:num w:numId="7" w16cid:durableId="1637031628">
    <w:abstractNumId w:val="2"/>
  </w:num>
  <w:num w:numId="8" w16cid:durableId="1668942473">
    <w:abstractNumId w:val="1"/>
  </w:num>
  <w:num w:numId="9" w16cid:durableId="111378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BC5"/>
    <w:rsid w:val="0029639D"/>
    <w:rsid w:val="00326F90"/>
    <w:rsid w:val="00737430"/>
    <w:rsid w:val="00805A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8256E"/>
  <w14:defaultImageDpi w14:val="300"/>
  <w15:docId w15:val="{A4028472-BD42-47F8-B5D1-C81BACA1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1672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Christen Robinson</cp:lastModifiedBy>
  <cp:revision>2</cp:revision>
  <dcterms:created xsi:type="dcterms:W3CDTF">2013-12-23T23:15:00Z</dcterms:created>
  <dcterms:modified xsi:type="dcterms:W3CDTF">2026-01-24T14:57:00Z</dcterms:modified>
  <cp:category/>
</cp:coreProperties>
</file>