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494364C"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w:t>
      </w:r>
      <w:r w:rsidR="003B5D10">
        <w:rPr>
          <w:rFonts w:ascii="Times New Roman" w:hAnsi="Times New Roman" w:cs="Times New Roman"/>
          <w:sz w:val="24"/>
          <w:szCs w:val="24"/>
        </w:rPr>
        <w:t>c</w:t>
      </w:r>
      <w:r w:rsidR="00C8352C">
        <w:rPr>
          <w:rFonts w:ascii="Times New Roman" w:hAnsi="Times New Roman" w:cs="Times New Roman"/>
          <w:sz w:val="24"/>
          <w:szCs w:val="24"/>
        </w:rPr>
        <w:t xml:space="preserve">ompared to native plants overall. </w:t>
      </w:r>
      <w:r w:rsidR="003B5D10">
        <w:rPr>
          <w:rFonts w:ascii="Times New Roman" w:hAnsi="Times New Roman" w:cs="Times New Roman"/>
          <w:sz w:val="24"/>
          <w:szCs w:val="24"/>
        </w:rPr>
        <w:t xml:space="preserve">In terms of nitrogen </w:t>
      </w:r>
      <w:proofErr w:type="gramStart"/>
      <w:r w:rsidR="003B5D10">
        <w:rPr>
          <w:rFonts w:ascii="Times New Roman" w:hAnsi="Times New Roman" w:cs="Times New Roman"/>
          <w:sz w:val="24"/>
          <w:szCs w:val="24"/>
        </w:rPr>
        <w:t>content</w:t>
      </w:r>
      <w:proofErr w:type="gramEnd"/>
      <w:r w:rsidR="00C8352C">
        <w:rPr>
          <w:rFonts w:ascii="Times New Roman" w:hAnsi="Times New Roman" w:cs="Times New Roman"/>
          <w:sz w:val="24"/>
          <w:szCs w:val="24"/>
        </w:rPr>
        <w:t xml:space="preserve"> we saw a wide range of nutritional quality </w:t>
      </w:r>
      <w:r w:rsidR="003B5D10">
        <w:rPr>
          <w:rFonts w:ascii="Times New Roman" w:hAnsi="Times New Roman" w:cs="Times New Roman"/>
          <w:sz w:val="24"/>
          <w:szCs w:val="24"/>
        </w:rPr>
        <w:t>among both native and non-natives plants, with non-native occupied by herbivores with lower nitrogen content overall.</w:t>
      </w:r>
      <w:r w:rsidR="00C8352C">
        <w:rPr>
          <w:rFonts w:ascii="Times New Roman" w:hAnsi="Times New Roman" w:cs="Times New Roman"/>
          <w:sz w:val="24"/>
          <w:szCs w:val="24"/>
        </w:rPr>
        <w:t xml:space="preserve"> These results do not suggest </w:t>
      </w:r>
      <w:r w:rsidR="003B5D10">
        <w:rPr>
          <w:rFonts w:ascii="Times New Roman" w:hAnsi="Times New Roman" w:cs="Times New Roman"/>
          <w:sz w:val="24"/>
          <w:szCs w:val="24"/>
        </w:rPr>
        <w:t xml:space="preserve">a more nuanced approach to </w:t>
      </w:r>
      <w:r w:rsidR="00C8352C">
        <w:rPr>
          <w:rFonts w:ascii="Times New Roman" w:hAnsi="Times New Roman" w:cs="Times New Roman"/>
          <w:sz w:val="24"/>
          <w:szCs w:val="24"/>
        </w:rPr>
        <w:t>prioritiz</w:t>
      </w:r>
      <w:r w:rsidR="003B5D10">
        <w:rPr>
          <w:rFonts w:ascii="Times New Roman" w:hAnsi="Times New Roman" w:cs="Times New Roman"/>
          <w:sz w:val="24"/>
          <w:szCs w:val="24"/>
        </w:rPr>
        <w:t>ing</w:t>
      </w:r>
      <w:r w:rsidR="00C8352C">
        <w:rPr>
          <w:rFonts w:ascii="Times New Roman" w:hAnsi="Times New Roman" w:cs="Times New Roman"/>
          <w:sz w:val="24"/>
          <w:szCs w:val="24"/>
        </w:rPr>
        <w:t xml:space="preserve"> removal of invasive </w:t>
      </w:r>
      <w:r w:rsidR="003B5D10">
        <w:rPr>
          <w:rFonts w:ascii="Times New Roman" w:hAnsi="Times New Roman" w:cs="Times New Roman"/>
          <w:sz w:val="24"/>
          <w:szCs w:val="24"/>
        </w:rPr>
        <w:t>shrubs that produce lower abundance and lower quality of insect prey for birds</w:t>
      </w:r>
      <w:r w:rsidR="00C8352C">
        <w:rPr>
          <w:rFonts w:ascii="Times New Roman" w:hAnsi="Times New Roman" w:cs="Times New Roman"/>
          <w:sz w:val="24"/>
          <w:szCs w:val="24"/>
        </w:rPr>
        <w:t xml:space="preserve">. </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lastRenderedPageBreak/>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2A854AE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w:t>
      </w:r>
      <w:r w:rsidR="00552427">
        <w:rPr>
          <w:rFonts w:ascii="Times New Roman" w:hAnsi="Times New Roman" w:cs="Times New Roman"/>
          <w:sz w:val="24"/>
          <w:szCs w:val="24"/>
        </w:rPr>
        <w:lastRenderedPageBreak/>
        <w:t>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77777777" w:rsidR="00546CFB" w:rsidRDefault="00546CFB">
      <w:pPr>
        <w:rPr>
          <w:rFonts w:ascii="Times New Roman" w:hAnsi="Times New Roman" w:cs="Times New Roman"/>
          <w:sz w:val="24"/>
          <w:szCs w:val="24"/>
        </w:rPr>
      </w:pP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2CA9E720"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lastRenderedPageBreak/>
        <w:t xml:space="preserve">Despite the differences in arthropod community composition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02563020"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proofErr w:type="gramStart"/>
      <w:r w:rsidRPr="00BC15E1">
        <w:rPr>
          <w:rFonts w:ascii="Times New Roman" w:hAnsi="Times New Roman" w:cs="Times New Roman"/>
          <w:i/>
          <w:iCs/>
          <w:sz w:val="24"/>
          <w:szCs w:val="24"/>
        </w:rPr>
        <w:t>Berberis</w:t>
      </w:r>
      <w:proofErr w:type="gramEnd"/>
      <w:r w:rsidRPr="00BC15E1">
        <w:rPr>
          <w:rFonts w:ascii="Times New Roman" w:hAnsi="Times New Roman" w:cs="Times New Roman"/>
          <w:i/>
          <w:iCs/>
          <w:sz w:val="24"/>
          <w:szCs w:val="24"/>
        </w:rPr>
        <w:t xml:space="preserve"> </w:t>
      </w:r>
      <w:r w:rsidR="001249B5">
        <w:rPr>
          <w:rFonts w:ascii="Times New Roman" w:hAnsi="Times New Roman" w:cs="Times New Roman"/>
          <w:i/>
          <w:iCs/>
          <w:sz w:val="24"/>
          <w:szCs w:val="24"/>
        </w:rPr>
        <w:t>thunbergia)</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Honeysuckle,</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68375A">
        <w:rPr>
          <w:rFonts w:ascii="Times New Roman" w:hAnsi="Times New Roman" w:cs="Times New Roman"/>
          <w:sz w:val="24"/>
          <w:szCs w:val="24"/>
        </w:rPr>
        <w:t>Sweet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7604F6D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proofErr w:type="gramStart"/>
      <w:r w:rsidR="001A6B07">
        <w:rPr>
          <w:rFonts w:ascii="Times New Roman" w:hAnsi="Times New Roman" w:cs="Times New Roman"/>
          <w:sz w:val="24"/>
          <w:szCs w:val="24"/>
        </w:rPr>
        <w:t>set up</w:t>
      </w:r>
      <w:proofErr w:type="gramEnd"/>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lastRenderedPageBreak/>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lastRenderedPageBreak/>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DE1EBCA" w14:textId="1274C0BC" w:rsidR="00A670F9" w:rsidRDefault="007B2E0E" w:rsidP="00070C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70C5F">
        <w:rPr>
          <w:rFonts w:ascii="Times New Roman" w:hAnsi="Times New Roman" w:cs="Times New Roman"/>
          <w:sz w:val="24"/>
          <w:szCs w:val="24"/>
        </w:rPr>
        <w:t>2a &amp; 2b &amp; 2c &amp; 2d</w:t>
      </w:r>
    </w:p>
    <w:p w14:paraId="24129C2E" w14:textId="0CBBCB60" w:rsidR="00070C5F" w:rsidRDefault="006B299C" w:rsidP="00070C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5CDB6" wp14:editId="1D2B6E48">
            <wp:extent cx="5943600" cy="47548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70C5F"/>
    <w:rsid w:val="00092827"/>
    <w:rsid w:val="00097BD4"/>
    <w:rsid w:val="000F39E3"/>
    <w:rsid w:val="001249B5"/>
    <w:rsid w:val="001427AD"/>
    <w:rsid w:val="00147ABF"/>
    <w:rsid w:val="001732BB"/>
    <w:rsid w:val="001849B0"/>
    <w:rsid w:val="001A619A"/>
    <w:rsid w:val="001A6B07"/>
    <w:rsid w:val="001D34F8"/>
    <w:rsid w:val="001E5899"/>
    <w:rsid w:val="001E5E76"/>
    <w:rsid w:val="00234017"/>
    <w:rsid w:val="00236B6C"/>
    <w:rsid w:val="00262D1E"/>
    <w:rsid w:val="002A3978"/>
    <w:rsid w:val="002B2595"/>
    <w:rsid w:val="002F6D13"/>
    <w:rsid w:val="003A7B1B"/>
    <w:rsid w:val="003B5D10"/>
    <w:rsid w:val="003D467F"/>
    <w:rsid w:val="00407E18"/>
    <w:rsid w:val="00454C3E"/>
    <w:rsid w:val="004859B1"/>
    <w:rsid w:val="004B41AE"/>
    <w:rsid w:val="004C0977"/>
    <w:rsid w:val="00537F73"/>
    <w:rsid w:val="005468E8"/>
    <w:rsid w:val="00546CFB"/>
    <w:rsid w:val="00552427"/>
    <w:rsid w:val="00567595"/>
    <w:rsid w:val="005D45A8"/>
    <w:rsid w:val="00615EF7"/>
    <w:rsid w:val="006274EE"/>
    <w:rsid w:val="00652313"/>
    <w:rsid w:val="0067185B"/>
    <w:rsid w:val="00671BCE"/>
    <w:rsid w:val="0067269D"/>
    <w:rsid w:val="0068375A"/>
    <w:rsid w:val="006B299C"/>
    <w:rsid w:val="00775AAC"/>
    <w:rsid w:val="0078074C"/>
    <w:rsid w:val="00787A21"/>
    <w:rsid w:val="007B2E0E"/>
    <w:rsid w:val="007D0C7E"/>
    <w:rsid w:val="008310E6"/>
    <w:rsid w:val="008402FE"/>
    <w:rsid w:val="008412F7"/>
    <w:rsid w:val="00851FF7"/>
    <w:rsid w:val="0085479B"/>
    <w:rsid w:val="008603A2"/>
    <w:rsid w:val="00865D9E"/>
    <w:rsid w:val="008816EC"/>
    <w:rsid w:val="008A1542"/>
    <w:rsid w:val="008A5E71"/>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67D26"/>
    <w:rsid w:val="00D72E3C"/>
    <w:rsid w:val="00E92D60"/>
    <w:rsid w:val="00E9435B"/>
    <w:rsid w:val="00EE3F43"/>
    <w:rsid w:val="00EE645C"/>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10</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67</cp:revision>
  <dcterms:created xsi:type="dcterms:W3CDTF">2022-04-02T13:15:00Z</dcterms:created>
  <dcterms:modified xsi:type="dcterms:W3CDTF">2022-05-04T14:47:00Z</dcterms:modified>
</cp:coreProperties>
</file>