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259E1A8"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or quality of insect prey overall compared to native plants overall. Instead, we saw a wide range of nutritional quality among our exotic host plants, suggesting that not all species are equally detrimental to songbird food availability. These results do not suggest that invasive plants are not worth removing, but it instead suggests that management efforts need to prioritize removal of invasive species over others. Invasive plant management needs to take a more nuanced approach for improving habitat for wildlife given the food quality of some invasive plants is on par or superior to native woody plants in the same habitat.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2A854AEA"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w:t>
      </w:r>
      <w:r w:rsidR="00552427">
        <w:rPr>
          <w:rFonts w:ascii="Times New Roman" w:hAnsi="Times New Roman" w:cs="Times New Roman"/>
          <w:sz w:val="24"/>
          <w:szCs w:val="24"/>
        </w:rPr>
        <w:lastRenderedPageBreak/>
        <w:t>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8D7BECD" w:rsidR="00972D61" w:rsidRDefault="00972D61">
      <w:pPr>
        <w:rPr>
          <w:rFonts w:ascii="Times New Roman" w:hAnsi="Times New Roman" w:cs="Times New Roman"/>
          <w:sz w:val="24"/>
          <w:szCs w:val="24"/>
        </w:rPr>
      </w:pPr>
      <w:r>
        <w:rPr>
          <w:rFonts w:ascii="Times New Roman" w:hAnsi="Times New Roman" w:cs="Times New Roman"/>
          <w:sz w:val="24"/>
          <w:szCs w:val="24"/>
        </w:rPr>
        <w:lastRenderedPageBreak/>
        <w:t>P7 – community composition reporting what taxonomic groups birds are removing from native and non-native plants</w:t>
      </w:r>
    </w:p>
    <w:p w14:paraId="77BF75B1" w14:textId="40EC3037"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2CA9E720"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lastRenderedPageBreak/>
        <w:t xml:space="preserve">P11 – </w:t>
      </w:r>
      <w:r w:rsidR="004B41AE">
        <w:rPr>
          <w:rFonts w:ascii="Times New Roman" w:hAnsi="Times New Roman" w:cs="Times New Roman"/>
          <w:i/>
          <w:iCs/>
          <w:sz w:val="24"/>
          <w:szCs w:val="24"/>
        </w:rPr>
        <w:t>Linking it to bird nutritional ecology done by other people in the region</w:t>
      </w:r>
    </w:p>
    <w:p w14:paraId="58A466DD" w14:textId="5DAB15EA"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r w:rsidR="005468E8">
        <w:rPr>
          <w:rFonts w:ascii="Times New Roman" w:hAnsi="Times New Roman" w:cs="Times New Roman"/>
          <w:sz w:val="24"/>
          <w:szCs w:val="24"/>
        </w:rPr>
        <w:t>that insectivorous songbirds</w:t>
      </w:r>
      <w:r>
        <w:rPr>
          <w:rFonts w:ascii="Times New Roman" w:hAnsi="Times New Roman" w:cs="Times New Roman"/>
          <w:sz w:val="24"/>
          <w:szCs w:val="24"/>
        </w:rPr>
        <w:t xml:space="preserve"> actively forage on and take prey from invasive plants, and there was no evidence that these predators take less biomass from invasive species. Loss of </w:t>
      </w:r>
    </w:p>
    <w:p w14:paraId="0A00E989" w14:textId="7889742E" w:rsidR="00004E24" w:rsidRPr="004B41AE"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02563020"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proofErr w:type="gramStart"/>
      <w:r w:rsidRPr="00BC15E1">
        <w:rPr>
          <w:rFonts w:ascii="Times New Roman" w:hAnsi="Times New Roman" w:cs="Times New Roman"/>
          <w:i/>
          <w:iCs/>
          <w:sz w:val="24"/>
          <w:szCs w:val="24"/>
        </w:rPr>
        <w:t>Berberis</w:t>
      </w:r>
      <w:proofErr w:type="gramEnd"/>
      <w:r w:rsidRPr="00BC15E1">
        <w:rPr>
          <w:rFonts w:ascii="Times New Roman" w:hAnsi="Times New Roman" w:cs="Times New Roman"/>
          <w:i/>
          <w:iCs/>
          <w:sz w:val="24"/>
          <w:szCs w:val="24"/>
        </w:rPr>
        <w:t xml:space="preserve"> </w:t>
      </w:r>
      <w:r w:rsidR="001249B5">
        <w:rPr>
          <w:rFonts w:ascii="Times New Roman" w:hAnsi="Times New Roman" w:cs="Times New Roman"/>
          <w:i/>
          <w:iCs/>
          <w:sz w:val="24"/>
          <w:szCs w:val="24"/>
        </w:rPr>
        <w:t>thunbergia)</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Honeysuckle,</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w:t>
      </w:r>
      <w:proofErr w:type="spellStart"/>
      <w:r w:rsidR="0068375A">
        <w:rPr>
          <w:rFonts w:ascii="Times New Roman" w:hAnsi="Times New Roman" w:cs="Times New Roman"/>
          <w:sz w:val="24"/>
          <w:szCs w:val="24"/>
        </w:rPr>
        <w:t>Musclewood</w:t>
      </w:r>
      <w:proofErr w:type="spellEnd"/>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proofErr w:type="gramStart"/>
      <w:r w:rsidR="0068375A">
        <w:rPr>
          <w:rFonts w:ascii="Times New Roman" w:hAnsi="Times New Roman" w:cs="Times New Roman"/>
          <w:sz w:val="24"/>
          <w:szCs w:val="24"/>
        </w:rPr>
        <w:t>Sweet</w:t>
      </w:r>
      <w:proofErr w:type="gramEnd"/>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7604F6D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proofErr w:type="gramStart"/>
      <w:r w:rsidR="001A6B07">
        <w:rPr>
          <w:rFonts w:ascii="Times New Roman" w:hAnsi="Times New Roman" w:cs="Times New Roman"/>
          <w:sz w:val="24"/>
          <w:szCs w:val="24"/>
        </w:rPr>
        <w:t>set up</w:t>
      </w:r>
      <w:proofErr w:type="gramEnd"/>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lastRenderedPageBreak/>
        <w:t>P14 – arthropod id and processing</w:t>
      </w:r>
    </w:p>
    <w:p w14:paraId="64C61975" w14:textId="577D8992"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 xml:space="preserve">All invertebrate sorting and taxonomic identification was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w:t>
      </w:r>
      <w:proofErr w:type="gramStart"/>
      <w:r w:rsidR="001732BB">
        <w:rPr>
          <w:rFonts w:ascii="Times New Roman" w:hAnsi="Times New Roman" w:cs="Times New Roman"/>
          <w:sz w:val="24"/>
          <w:szCs w:val="24"/>
        </w:rPr>
        <w:t>i.e.</w:t>
      </w:r>
      <w:proofErr w:type="gramEnd"/>
      <w:r w:rsidR="001732BB">
        <w:rPr>
          <w:rFonts w:ascii="Times New Roman" w:hAnsi="Times New Roman" w:cs="Times New Roman"/>
          <w:sz w:val="24"/>
          <w:szCs w:val="24"/>
        </w:rPr>
        <w:t xml:space="preserv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proofErr w:type="gramStart"/>
      <w:r w:rsidR="00AD6278" w:rsidRPr="001732BB">
        <w:rPr>
          <w:rFonts w:ascii="Times New Roman" w:hAnsi="Times New Roman" w:cs="Times New Roman"/>
          <w:sz w:val="24"/>
          <w:szCs w:val="24"/>
          <w:highlight w:val="yellow"/>
        </w:rPr>
        <w:t>C:N</w:t>
      </w:r>
      <w:proofErr w:type="gramEnd"/>
      <w:r w:rsidR="00AD6278" w:rsidRPr="001732BB">
        <w:rPr>
          <w:rFonts w:ascii="Times New Roman" w:hAnsi="Times New Roman" w:cs="Times New Roman"/>
          <w:sz w:val="24"/>
          <w:szCs w:val="24"/>
          <w:highlight w:val="yellow"/>
        </w:rPr>
        <w:t xml:space="preserve">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lastRenderedPageBreak/>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DE1EBCA" w14:textId="1274C0BC" w:rsidR="00A670F9" w:rsidRDefault="007B2E0E" w:rsidP="00070C5F">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70C5F">
        <w:rPr>
          <w:rFonts w:ascii="Times New Roman" w:hAnsi="Times New Roman" w:cs="Times New Roman"/>
          <w:sz w:val="24"/>
          <w:szCs w:val="24"/>
        </w:rPr>
        <w:t>2a &amp; 2b &amp; 2c &amp; 2d</w:t>
      </w:r>
    </w:p>
    <w:p w14:paraId="24129C2E" w14:textId="0CBBCB60" w:rsidR="00070C5F" w:rsidRDefault="006B299C" w:rsidP="00070C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5CDB6" wp14:editId="1D2B6E48">
            <wp:extent cx="5943600" cy="47548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DB25CF"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092827">
        <w:rPr>
          <w:rFonts w:ascii="Times New Roman" w:hAnsi="Times New Roman" w:cs="Times New Roman"/>
          <w:sz w:val="24"/>
          <w:szCs w:val="24"/>
        </w:rPr>
        <w:t>4</w:t>
      </w:r>
      <w:r>
        <w:rPr>
          <w:rFonts w:ascii="Times New Roman" w:hAnsi="Times New Roman" w:cs="Times New Roman"/>
          <w:sz w:val="24"/>
          <w:szCs w:val="24"/>
        </w:rPr>
        <w:t>: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70C5F"/>
    <w:rsid w:val="00092827"/>
    <w:rsid w:val="00097BD4"/>
    <w:rsid w:val="000F39E3"/>
    <w:rsid w:val="001249B5"/>
    <w:rsid w:val="001427AD"/>
    <w:rsid w:val="00147ABF"/>
    <w:rsid w:val="001732BB"/>
    <w:rsid w:val="001849B0"/>
    <w:rsid w:val="001A619A"/>
    <w:rsid w:val="001A6B07"/>
    <w:rsid w:val="001D34F8"/>
    <w:rsid w:val="001E5899"/>
    <w:rsid w:val="001E5E76"/>
    <w:rsid w:val="00234017"/>
    <w:rsid w:val="00236B6C"/>
    <w:rsid w:val="00262D1E"/>
    <w:rsid w:val="002A3978"/>
    <w:rsid w:val="002B2595"/>
    <w:rsid w:val="002F6D13"/>
    <w:rsid w:val="003A7B1B"/>
    <w:rsid w:val="003D467F"/>
    <w:rsid w:val="00407E18"/>
    <w:rsid w:val="00454C3E"/>
    <w:rsid w:val="004859B1"/>
    <w:rsid w:val="004B41AE"/>
    <w:rsid w:val="004C0977"/>
    <w:rsid w:val="00537F73"/>
    <w:rsid w:val="005468E8"/>
    <w:rsid w:val="00552427"/>
    <w:rsid w:val="00567595"/>
    <w:rsid w:val="005D45A8"/>
    <w:rsid w:val="00615EF7"/>
    <w:rsid w:val="006274EE"/>
    <w:rsid w:val="00652313"/>
    <w:rsid w:val="0067185B"/>
    <w:rsid w:val="00671BCE"/>
    <w:rsid w:val="0067269D"/>
    <w:rsid w:val="0068375A"/>
    <w:rsid w:val="006B299C"/>
    <w:rsid w:val="00775AAC"/>
    <w:rsid w:val="0078074C"/>
    <w:rsid w:val="00787A21"/>
    <w:rsid w:val="007B2E0E"/>
    <w:rsid w:val="007D0C7E"/>
    <w:rsid w:val="008310E6"/>
    <w:rsid w:val="008402FE"/>
    <w:rsid w:val="008412F7"/>
    <w:rsid w:val="00851FF7"/>
    <w:rsid w:val="0085479B"/>
    <w:rsid w:val="008603A2"/>
    <w:rsid w:val="00865D9E"/>
    <w:rsid w:val="008816EC"/>
    <w:rsid w:val="008A1542"/>
    <w:rsid w:val="008A5E71"/>
    <w:rsid w:val="0091079E"/>
    <w:rsid w:val="0091228E"/>
    <w:rsid w:val="009174C9"/>
    <w:rsid w:val="009479F7"/>
    <w:rsid w:val="009566FA"/>
    <w:rsid w:val="00972D61"/>
    <w:rsid w:val="009813A5"/>
    <w:rsid w:val="009D11DD"/>
    <w:rsid w:val="009D406F"/>
    <w:rsid w:val="009F317C"/>
    <w:rsid w:val="00A652CC"/>
    <w:rsid w:val="00A670F9"/>
    <w:rsid w:val="00A75264"/>
    <w:rsid w:val="00AB4100"/>
    <w:rsid w:val="00AD6278"/>
    <w:rsid w:val="00AD7B29"/>
    <w:rsid w:val="00B1116F"/>
    <w:rsid w:val="00B27D6C"/>
    <w:rsid w:val="00B35962"/>
    <w:rsid w:val="00B41CEB"/>
    <w:rsid w:val="00B434D7"/>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67D26"/>
    <w:rsid w:val="00D72E3C"/>
    <w:rsid w:val="00E92D60"/>
    <w:rsid w:val="00E9435B"/>
    <w:rsid w:val="00EE3F43"/>
    <w:rsid w:val="00EE645C"/>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10</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65</cp:revision>
  <dcterms:created xsi:type="dcterms:W3CDTF">2022-04-02T13:15:00Z</dcterms:created>
  <dcterms:modified xsi:type="dcterms:W3CDTF">2022-05-02T19:55:00Z</dcterms:modified>
</cp:coreProperties>
</file>