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1DD7B" w14:textId="48D8C001" w:rsidR="007915A6" w:rsidRDefault="007915A6">
      <w:pPr>
        <w:rPr>
          <w:rFonts w:ascii="Times New Roman" w:hAnsi="Times New Roman" w:cs="Times New Roman"/>
          <w:sz w:val="24"/>
          <w:szCs w:val="24"/>
        </w:rPr>
      </w:pPr>
      <w:r w:rsidRPr="007915A6">
        <w:rPr>
          <w:rFonts w:ascii="Times New Roman" w:hAnsi="Times New Roman" w:cs="Times New Roman"/>
          <w:sz w:val="24"/>
          <w:szCs w:val="24"/>
        </w:rPr>
        <w:t>Supporting information (SI)</w:t>
      </w:r>
    </w:p>
    <w:p w14:paraId="3E4ABC28" w14:textId="35743C5B" w:rsidR="00E74B57" w:rsidRDefault="00E74B57">
      <w:pPr>
        <w:rPr>
          <w:rFonts w:ascii="Times New Roman" w:hAnsi="Times New Roman" w:cs="Times New Roman"/>
          <w:sz w:val="24"/>
          <w:szCs w:val="24"/>
        </w:rPr>
      </w:pPr>
      <w:r>
        <w:rPr>
          <w:rFonts w:ascii="Times New Roman" w:hAnsi="Times New Roman" w:cs="Times New Roman"/>
          <w:sz w:val="24"/>
          <w:szCs w:val="24"/>
        </w:rPr>
        <w:t xml:space="preserve">Appendix </w:t>
      </w:r>
      <w:r w:rsidR="005C0FA8">
        <w:rPr>
          <w:rFonts w:ascii="Times New Roman" w:hAnsi="Times New Roman" w:cs="Times New Roman"/>
          <w:sz w:val="24"/>
          <w:szCs w:val="24"/>
        </w:rPr>
        <w:t>S1</w:t>
      </w:r>
      <w:r>
        <w:rPr>
          <w:rFonts w:ascii="Times New Roman" w:hAnsi="Times New Roman" w:cs="Times New Roman"/>
          <w:sz w:val="24"/>
          <w:szCs w:val="24"/>
        </w:rPr>
        <w:t>: Selection of arthropods for C:N analysis</w:t>
      </w:r>
    </w:p>
    <w:p w14:paraId="0D59D907" w14:textId="21D6182A" w:rsidR="00E74B57" w:rsidRDefault="00E74B57">
      <w:pPr>
        <w:rPr>
          <w:rFonts w:ascii="Times New Roman" w:hAnsi="Times New Roman" w:cs="Times New Roman"/>
          <w:sz w:val="24"/>
          <w:szCs w:val="24"/>
        </w:rPr>
      </w:pPr>
      <w:r>
        <w:rPr>
          <w:rFonts w:ascii="Times New Roman" w:hAnsi="Times New Roman" w:cs="Times New Roman"/>
          <w:sz w:val="24"/>
          <w:szCs w:val="24"/>
        </w:rPr>
        <w:t xml:space="preserve">We selected two broad functional groups to evaluate the differences in % nitrogen among native and non-native plants. Spiders (Araneae) were selected as indicators of the %N content of the third trophic level as arthropod predators. Our other function group were insect herbivores. We selected insect herbivores from families that were most likely to feed on plant foliage, particularly the foliate of woody plants included in our experiment. These represent the nutritional content of insect prey primarily available to </w:t>
      </w:r>
      <w:r w:rsidR="003F6FBE">
        <w:rPr>
          <w:rFonts w:ascii="Times New Roman" w:hAnsi="Times New Roman" w:cs="Times New Roman"/>
          <w:sz w:val="24"/>
          <w:szCs w:val="24"/>
        </w:rPr>
        <w:t>bird and the numerical</w:t>
      </w:r>
      <w:r w:rsidR="00280522">
        <w:rPr>
          <w:rFonts w:ascii="Times New Roman" w:hAnsi="Times New Roman" w:cs="Times New Roman"/>
          <w:sz w:val="24"/>
          <w:szCs w:val="24"/>
        </w:rPr>
        <w:t xml:space="preserve"> majority </w:t>
      </w:r>
      <w:r>
        <w:rPr>
          <w:rFonts w:ascii="Times New Roman" w:hAnsi="Times New Roman" w:cs="Times New Roman"/>
          <w:sz w:val="24"/>
          <w:szCs w:val="24"/>
        </w:rPr>
        <w:t xml:space="preserve">of arthropods collected. Insect herbivore families selected included: All families of Lepidoptera collected (primarily Geometridae and the superfamily </w:t>
      </w:r>
      <w:r w:rsidRPr="00E74B57">
        <w:rPr>
          <w:rFonts w:ascii="Times New Roman" w:hAnsi="Times New Roman" w:cs="Times New Roman"/>
          <w:sz w:val="24"/>
          <w:szCs w:val="24"/>
        </w:rPr>
        <w:t>Noctuoidea</w:t>
      </w:r>
      <w:r>
        <w:rPr>
          <w:rFonts w:ascii="Times New Roman" w:hAnsi="Times New Roman" w:cs="Times New Roman"/>
          <w:sz w:val="24"/>
          <w:szCs w:val="24"/>
        </w:rPr>
        <w:t xml:space="preserve">), Hemipteran families including Tingidae, Miridae, Coreidae, </w:t>
      </w:r>
      <w:r w:rsidR="004033B0">
        <w:rPr>
          <w:rFonts w:ascii="Times New Roman" w:hAnsi="Times New Roman" w:cs="Times New Roman"/>
          <w:sz w:val="24"/>
          <w:szCs w:val="24"/>
        </w:rPr>
        <w:t xml:space="preserve">Pentatomidae, </w:t>
      </w:r>
      <w:r w:rsidR="004033B0" w:rsidRPr="004033B0">
        <w:rPr>
          <w:rFonts w:ascii="Times New Roman" w:hAnsi="Times New Roman" w:cs="Times New Roman"/>
          <w:sz w:val="24"/>
          <w:szCs w:val="24"/>
        </w:rPr>
        <w:t>Acanthosomatidae</w:t>
      </w:r>
      <w:r w:rsidR="004033B0">
        <w:rPr>
          <w:rFonts w:ascii="Times New Roman" w:hAnsi="Times New Roman" w:cs="Times New Roman"/>
          <w:sz w:val="24"/>
          <w:szCs w:val="24"/>
        </w:rPr>
        <w:t>, and Thyreocoridae.</w:t>
      </w:r>
      <w:r w:rsidR="00C61A24">
        <w:rPr>
          <w:rFonts w:ascii="Times New Roman" w:hAnsi="Times New Roman" w:cs="Times New Roman"/>
          <w:sz w:val="24"/>
          <w:szCs w:val="24"/>
        </w:rPr>
        <w:t xml:space="preserve"> We included sawfly families Cimbicidae and Tenthrediniadae. The only beetle families selected were those likely to feed on foliage as adults or larvae, including Brentidae, Chrysomelidae, Cleridae, Curculinidae (only the </w:t>
      </w:r>
      <w:r w:rsidR="00F453B4">
        <w:rPr>
          <w:rFonts w:ascii="Times New Roman" w:hAnsi="Times New Roman" w:cs="Times New Roman"/>
          <w:sz w:val="24"/>
          <w:szCs w:val="24"/>
        </w:rPr>
        <w:t>subfamily</w:t>
      </w:r>
      <w:r w:rsidR="00C61A24">
        <w:rPr>
          <w:rFonts w:ascii="Times New Roman" w:hAnsi="Times New Roman" w:cs="Times New Roman"/>
          <w:sz w:val="24"/>
          <w:szCs w:val="24"/>
        </w:rPr>
        <w:t xml:space="preserve"> Entiminae) and Melolonthinae</w:t>
      </w:r>
      <w:r w:rsidR="003F6FBE">
        <w:rPr>
          <w:rFonts w:ascii="Times New Roman" w:hAnsi="Times New Roman" w:cs="Times New Roman"/>
          <w:sz w:val="24"/>
          <w:szCs w:val="24"/>
        </w:rPr>
        <w:t>.</w:t>
      </w:r>
      <w:r w:rsidR="00C61A24">
        <w:rPr>
          <w:rFonts w:ascii="Times New Roman" w:hAnsi="Times New Roman" w:cs="Times New Roman"/>
          <w:sz w:val="24"/>
          <w:szCs w:val="24"/>
        </w:rPr>
        <w:t xml:space="preserve"> </w:t>
      </w:r>
    </w:p>
    <w:p w14:paraId="711664DD" w14:textId="03287869" w:rsidR="007915A6" w:rsidRDefault="007915A6">
      <w:pPr>
        <w:rPr>
          <w:rFonts w:ascii="Times New Roman" w:hAnsi="Times New Roman" w:cs="Times New Roman"/>
          <w:sz w:val="24"/>
          <w:szCs w:val="24"/>
        </w:rPr>
      </w:pPr>
    </w:p>
    <w:p w14:paraId="42A00D04" w14:textId="047F5CB8" w:rsidR="00CD3512" w:rsidRDefault="00CD3512">
      <w:pPr>
        <w:rPr>
          <w:rFonts w:ascii="Times New Roman" w:hAnsi="Times New Roman" w:cs="Times New Roman"/>
          <w:sz w:val="24"/>
          <w:szCs w:val="24"/>
        </w:rPr>
      </w:pPr>
      <w:r>
        <w:rPr>
          <w:rFonts w:ascii="Times New Roman" w:hAnsi="Times New Roman" w:cs="Times New Roman"/>
          <w:sz w:val="24"/>
          <w:szCs w:val="24"/>
        </w:rPr>
        <w:br w:type="page"/>
      </w:r>
    </w:p>
    <w:p w14:paraId="0D81C2BE" w14:textId="0F21F7C5" w:rsidR="00CD3512" w:rsidRDefault="007915A6">
      <w:pPr>
        <w:rPr>
          <w:rFonts w:ascii="Times New Roman" w:hAnsi="Times New Roman" w:cs="Times New Roman"/>
          <w:sz w:val="24"/>
          <w:szCs w:val="24"/>
        </w:rPr>
      </w:pPr>
      <w:r>
        <w:rPr>
          <w:rFonts w:ascii="Times New Roman" w:hAnsi="Times New Roman" w:cs="Times New Roman"/>
          <w:sz w:val="24"/>
          <w:szCs w:val="24"/>
        </w:rPr>
        <w:lastRenderedPageBreak/>
        <w:t>Figure</w:t>
      </w:r>
      <w:r w:rsidR="00CD3512">
        <w:rPr>
          <w:rFonts w:ascii="Times New Roman" w:hAnsi="Times New Roman" w:cs="Times New Roman"/>
          <w:sz w:val="24"/>
          <w:szCs w:val="24"/>
        </w:rPr>
        <w:t>.</w:t>
      </w:r>
      <w:r>
        <w:rPr>
          <w:rFonts w:ascii="Times New Roman" w:hAnsi="Times New Roman" w:cs="Times New Roman"/>
          <w:sz w:val="24"/>
          <w:szCs w:val="24"/>
        </w:rPr>
        <w:t xml:space="preserve"> S1</w:t>
      </w:r>
      <w:r w:rsidR="00CD3512">
        <w:rPr>
          <w:rFonts w:ascii="Times New Roman" w:hAnsi="Times New Roman" w:cs="Times New Roman"/>
          <w:sz w:val="24"/>
          <w:szCs w:val="24"/>
        </w:rPr>
        <w:t>. Average abundance of aquatic insects (# per bagged branches) among ten sampled host-plant species.</w:t>
      </w:r>
      <w:r w:rsidR="002F3717">
        <w:rPr>
          <w:rFonts w:ascii="Times New Roman" w:hAnsi="Times New Roman" w:cs="Times New Roman"/>
          <w:sz w:val="24"/>
          <w:szCs w:val="24"/>
        </w:rPr>
        <w:t xml:space="preserve"> Bar height indicates estimated mean from GLMM, and error bars indicate 95% confidence intervals. Bars with non-overlapping confidence intervals are significantly different. Bars ranked by estimated means.</w:t>
      </w:r>
    </w:p>
    <w:p w14:paraId="0C05B71E" w14:textId="78751A6A" w:rsidR="00CD3512" w:rsidRDefault="00CD351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EE8F91" wp14:editId="71DF3183">
            <wp:extent cx="5486400" cy="457200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5486400" cy="4572000"/>
                    </a:xfrm>
                    <a:prstGeom prst="rect">
                      <a:avLst/>
                    </a:prstGeom>
                  </pic:spPr>
                </pic:pic>
              </a:graphicData>
            </a:graphic>
          </wp:inline>
        </w:drawing>
      </w:r>
    </w:p>
    <w:p w14:paraId="3F8349C5" w14:textId="14AEBF72" w:rsidR="00CD3512" w:rsidRDefault="00CD3512">
      <w:pPr>
        <w:rPr>
          <w:rFonts w:ascii="Times New Roman" w:hAnsi="Times New Roman" w:cs="Times New Roman"/>
          <w:sz w:val="24"/>
          <w:szCs w:val="24"/>
        </w:rPr>
      </w:pPr>
    </w:p>
    <w:p w14:paraId="1EAE3518" w14:textId="77777777" w:rsidR="00CD3512" w:rsidRDefault="00CD3512">
      <w:pPr>
        <w:rPr>
          <w:rFonts w:ascii="Times New Roman" w:hAnsi="Times New Roman" w:cs="Times New Roman"/>
          <w:sz w:val="24"/>
          <w:szCs w:val="24"/>
        </w:rPr>
      </w:pPr>
    </w:p>
    <w:p w14:paraId="1A7E2559" w14:textId="77777777" w:rsidR="00CD3512" w:rsidRDefault="00CD3512">
      <w:pPr>
        <w:rPr>
          <w:rFonts w:ascii="Times New Roman" w:hAnsi="Times New Roman" w:cs="Times New Roman"/>
          <w:sz w:val="24"/>
          <w:szCs w:val="24"/>
        </w:rPr>
      </w:pPr>
    </w:p>
    <w:p w14:paraId="5AD4830D" w14:textId="77777777" w:rsidR="00CD3512" w:rsidRDefault="00CD3512">
      <w:pPr>
        <w:rPr>
          <w:rFonts w:ascii="Times New Roman" w:hAnsi="Times New Roman" w:cs="Times New Roman"/>
          <w:sz w:val="24"/>
          <w:szCs w:val="24"/>
        </w:rPr>
      </w:pPr>
    </w:p>
    <w:p w14:paraId="154252A4" w14:textId="77777777" w:rsidR="00CD3512" w:rsidRDefault="00CD3512">
      <w:pPr>
        <w:rPr>
          <w:rFonts w:ascii="Times New Roman" w:hAnsi="Times New Roman" w:cs="Times New Roman"/>
          <w:sz w:val="24"/>
          <w:szCs w:val="24"/>
        </w:rPr>
      </w:pPr>
    </w:p>
    <w:p w14:paraId="5804BDA2" w14:textId="77777777" w:rsidR="00CD3512" w:rsidRDefault="00CD3512">
      <w:pPr>
        <w:rPr>
          <w:rFonts w:ascii="Times New Roman" w:hAnsi="Times New Roman" w:cs="Times New Roman"/>
          <w:sz w:val="24"/>
          <w:szCs w:val="24"/>
        </w:rPr>
      </w:pPr>
    </w:p>
    <w:p w14:paraId="1A4EC9D6" w14:textId="77777777" w:rsidR="00CD3512" w:rsidRDefault="00CD3512">
      <w:pPr>
        <w:rPr>
          <w:rFonts w:ascii="Times New Roman" w:hAnsi="Times New Roman" w:cs="Times New Roman"/>
          <w:sz w:val="24"/>
          <w:szCs w:val="24"/>
        </w:rPr>
      </w:pPr>
    </w:p>
    <w:p w14:paraId="695BD210" w14:textId="77777777" w:rsidR="00CD3512" w:rsidRDefault="00CD3512">
      <w:pPr>
        <w:rPr>
          <w:rFonts w:ascii="Times New Roman" w:hAnsi="Times New Roman" w:cs="Times New Roman"/>
          <w:sz w:val="24"/>
          <w:szCs w:val="24"/>
        </w:rPr>
      </w:pPr>
    </w:p>
    <w:p w14:paraId="6A305805" w14:textId="77777777" w:rsidR="00CD3512" w:rsidRDefault="00CD3512">
      <w:pPr>
        <w:rPr>
          <w:rFonts w:ascii="Times New Roman" w:hAnsi="Times New Roman" w:cs="Times New Roman"/>
          <w:sz w:val="24"/>
          <w:szCs w:val="24"/>
        </w:rPr>
      </w:pPr>
    </w:p>
    <w:p w14:paraId="2F15678D" w14:textId="77777777" w:rsidR="00CD3512" w:rsidRDefault="00CD3512">
      <w:pPr>
        <w:rPr>
          <w:rFonts w:ascii="Times New Roman" w:hAnsi="Times New Roman" w:cs="Times New Roman"/>
          <w:sz w:val="24"/>
          <w:szCs w:val="24"/>
        </w:rPr>
      </w:pPr>
    </w:p>
    <w:p w14:paraId="0EF32D9E" w14:textId="14824101" w:rsidR="00CD3512" w:rsidRDefault="00CD3512">
      <w:pPr>
        <w:rPr>
          <w:rFonts w:ascii="Times New Roman" w:hAnsi="Times New Roman" w:cs="Times New Roman"/>
          <w:sz w:val="24"/>
          <w:szCs w:val="24"/>
        </w:rPr>
      </w:pPr>
      <w:r>
        <w:rPr>
          <w:rFonts w:ascii="Times New Roman" w:hAnsi="Times New Roman" w:cs="Times New Roman"/>
          <w:sz w:val="24"/>
          <w:szCs w:val="24"/>
        </w:rPr>
        <w:t>Fig. S2. Average abundance of lepidoptera (# of caterpillars per bagged branches) among ten sampled host-plant species.</w:t>
      </w:r>
      <w:r w:rsidR="002F3717">
        <w:rPr>
          <w:rFonts w:ascii="Times New Roman" w:hAnsi="Times New Roman" w:cs="Times New Roman"/>
          <w:sz w:val="24"/>
          <w:szCs w:val="24"/>
        </w:rPr>
        <w:t xml:space="preserve"> Bar height indicates estimated mean from GLMM, and error bars indicate 95% confidence intervals. Bars with non-overlapping confidence intervals are significantly different. Bars ranked by estimated means.</w:t>
      </w:r>
    </w:p>
    <w:p w14:paraId="2B1813DA" w14:textId="1ADF1AE6" w:rsidR="00CD3512" w:rsidRDefault="00CD351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17AA97" wp14:editId="7C0E9E70">
            <wp:extent cx="5486400" cy="4572000"/>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5486400" cy="4572000"/>
                    </a:xfrm>
                    <a:prstGeom prst="rect">
                      <a:avLst/>
                    </a:prstGeom>
                  </pic:spPr>
                </pic:pic>
              </a:graphicData>
            </a:graphic>
          </wp:inline>
        </w:drawing>
      </w:r>
    </w:p>
    <w:p w14:paraId="3063A1C8" w14:textId="77777777" w:rsidR="00CD3512" w:rsidRDefault="00CD3512">
      <w:pPr>
        <w:rPr>
          <w:rFonts w:ascii="Times New Roman" w:hAnsi="Times New Roman" w:cs="Times New Roman"/>
          <w:sz w:val="24"/>
          <w:szCs w:val="24"/>
        </w:rPr>
      </w:pPr>
    </w:p>
    <w:p w14:paraId="66891753" w14:textId="77777777" w:rsidR="00CD3512" w:rsidRDefault="00CD3512">
      <w:pPr>
        <w:rPr>
          <w:rFonts w:ascii="Times New Roman" w:hAnsi="Times New Roman" w:cs="Times New Roman"/>
          <w:sz w:val="24"/>
          <w:szCs w:val="24"/>
        </w:rPr>
      </w:pPr>
    </w:p>
    <w:p w14:paraId="154690E8" w14:textId="4F31C00A" w:rsidR="00CD3512" w:rsidRDefault="00CD3512">
      <w:pPr>
        <w:rPr>
          <w:rFonts w:ascii="Times New Roman" w:hAnsi="Times New Roman" w:cs="Times New Roman"/>
          <w:sz w:val="24"/>
          <w:szCs w:val="24"/>
        </w:rPr>
      </w:pPr>
    </w:p>
    <w:p w14:paraId="42A11C78" w14:textId="39CE0375" w:rsidR="00CD3512" w:rsidRDefault="00CD3512">
      <w:pPr>
        <w:rPr>
          <w:rFonts w:ascii="Times New Roman" w:hAnsi="Times New Roman" w:cs="Times New Roman"/>
          <w:sz w:val="24"/>
          <w:szCs w:val="24"/>
        </w:rPr>
      </w:pPr>
    </w:p>
    <w:p w14:paraId="2F676D81" w14:textId="2DE0CB13" w:rsidR="00CD3512" w:rsidRDefault="00CD3512">
      <w:pPr>
        <w:rPr>
          <w:rFonts w:ascii="Times New Roman" w:hAnsi="Times New Roman" w:cs="Times New Roman"/>
          <w:sz w:val="24"/>
          <w:szCs w:val="24"/>
        </w:rPr>
      </w:pPr>
    </w:p>
    <w:p w14:paraId="23DB703F" w14:textId="346DDA48" w:rsidR="00CD3512" w:rsidRDefault="00CD3512">
      <w:pPr>
        <w:rPr>
          <w:rFonts w:ascii="Times New Roman" w:hAnsi="Times New Roman" w:cs="Times New Roman"/>
          <w:sz w:val="24"/>
          <w:szCs w:val="24"/>
        </w:rPr>
      </w:pPr>
    </w:p>
    <w:p w14:paraId="755BDB3D" w14:textId="5FF6A041" w:rsidR="00CD3512" w:rsidRDefault="00CD3512">
      <w:pPr>
        <w:rPr>
          <w:rFonts w:ascii="Times New Roman" w:hAnsi="Times New Roman" w:cs="Times New Roman"/>
          <w:sz w:val="24"/>
          <w:szCs w:val="24"/>
        </w:rPr>
      </w:pPr>
    </w:p>
    <w:p w14:paraId="136EC970" w14:textId="1C328FC7" w:rsidR="00CD3512" w:rsidRDefault="00CD3512">
      <w:pPr>
        <w:rPr>
          <w:rFonts w:ascii="Times New Roman" w:hAnsi="Times New Roman" w:cs="Times New Roman"/>
          <w:sz w:val="24"/>
          <w:szCs w:val="24"/>
        </w:rPr>
      </w:pPr>
    </w:p>
    <w:p w14:paraId="5AC280B6" w14:textId="72D0A187" w:rsidR="00CD3512" w:rsidRDefault="00CD3512">
      <w:pPr>
        <w:rPr>
          <w:rFonts w:ascii="Times New Roman" w:hAnsi="Times New Roman" w:cs="Times New Roman"/>
          <w:sz w:val="24"/>
          <w:szCs w:val="24"/>
        </w:rPr>
      </w:pPr>
    </w:p>
    <w:p w14:paraId="48D1A8F6" w14:textId="2E4BB504" w:rsidR="00CD3512" w:rsidRDefault="00CD3512">
      <w:pPr>
        <w:rPr>
          <w:rFonts w:ascii="Times New Roman" w:hAnsi="Times New Roman" w:cs="Times New Roman"/>
          <w:sz w:val="24"/>
          <w:szCs w:val="24"/>
        </w:rPr>
      </w:pPr>
    </w:p>
    <w:p w14:paraId="1902C0D2" w14:textId="1A69C69E" w:rsidR="00CD3512" w:rsidRDefault="00CD3512">
      <w:pPr>
        <w:rPr>
          <w:rFonts w:ascii="Times New Roman" w:hAnsi="Times New Roman" w:cs="Times New Roman"/>
          <w:sz w:val="24"/>
          <w:szCs w:val="24"/>
        </w:rPr>
      </w:pPr>
      <w:r>
        <w:rPr>
          <w:rFonts w:ascii="Times New Roman" w:hAnsi="Times New Roman" w:cs="Times New Roman"/>
          <w:sz w:val="24"/>
          <w:szCs w:val="24"/>
        </w:rPr>
        <w:t>Fig. S3. Average abundance of spiders (# of spiders per bagged branch) among ten sampled-host plant species.</w:t>
      </w:r>
      <w:r w:rsidR="002F3717" w:rsidRPr="002F3717">
        <w:rPr>
          <w:rFonts w:ascii="Times New Roman" w:hAnsi="Times New Roman" w:cs="Times New Roman"/>
          <w:sz w:val="24"/>
          <w:szCs w:val="24"/>
        </w:rPr>
        <w:t xml:space="preserve"> </w:t>
      </w:r>
      <w:r w:rsidR="002F3717">
        <w:rPr>
          <w:rFonts w:ascii="Times New Roman" w:hAnsi="Times New Roman" w:cs="Times New Roman"/>
          <w:sz w:val="24"/>
          <w:szCs w:val="24"/>
        </w:rPr>
        <w:t>Bar height indicates estimated mean from GLMM, and error bars indicate 95% confidence intervals. Bars with non-overlapping confidence intervals are significantly different. Bars ranked by estimated means.</w:t>
      </w:r>
    </w:p>
    <w:p w14:paraId="13D5CF04" w14:textId="48108756" w:rsidR="00CD3512" w:rsidRDefault="00CD351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24D0A0" wp14:editId="4B734DE6">
            <wp:extent cx="5486400" cy="4572000"/>
            <wp:effectExtent l="0" t="0" r="0" b="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486400" cy="4572000"/>
                    </a:xfrm>
                    <a:prstGeom prst="rect">
                      <a:avLst/>
                    </a:prstGeom>
                  </pic:spPr>
                </pic:pic>
              </a:graphicData>
            </a:graphic>
          </wp:inline>
        </w:drawing>
      </w:r>
    </w:p>
    <w:p w14:paraId="7EC2C616" w14:textId="77777777" w:rsidR="00CD3512" w:rsidRDefault="00CD3512">
      <w:pPr>
        <w:rPr>
          <w:rFonts w:ascii="Times New Roman" w:hAnsi="Times New Roman" w:cs="Times New Roman"/>
          <w:sz w:val="24"/>
          <w:szCs w:val="24"/>
        </w:rPr>
      </w:pPr>
    </w:p>
    <w:p w14:paraId="6490DC00" w14:textId="77777777" w:rsidR="007915A6" w:rsidRPr="007915A6" w:rsidRDefault="007915A6">
      <w:pPr>
        <w:rPr>
          <w:rFonts w:ascii="Times New Roman" w:hAnsi="Times New Roman" w:cs="Times New Roman"/>
          <w:sz w:val="24"/>
          <w:szCs w:val="24"/>
        </w:rPr>
      </w:pPr>
    </w:p>
    <w:sectPr w:rsidR="007915A6" w:rsidRPr="00791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5A6"/>
    <w:rsid w:val="00241CB1"/>
    <w:rsid w:val="00280522"/>
    <w:rsid w:val="002F3344"/>
    <w:rsid w:val="002F3717"/>
    <w:rsid w:val="003F6FBE"/>
    <w:rsid w:val="004033B0"/>
    <w:rsid w:val="005C0FA8"/>
    <w:rsid w:val="0062530F"/>
    <w:rsid w:val="006D6A65"/>
    <w:rsid w:val="007915A6"/>
    <w:rsid w:val="00B84938"/>
    <w:rsid w:val="00BA7C89"/>
    <w:rsid w:val="00C61A24"/>
    <w:rsid w:val="00CD3512"/>
    <w:rsid w:val="00E74B57"/>
    <w:rsid w:val="00F26EFF"/>
    <w:rsid w:val="00F453B4"/>
    <w:rsid w:val="00FB0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8B5AA"/>
  <w15:chartTrackingRefBased/>
  <w15:docId w15:val="{E716893B-4678-4BB3-8DD7-232C8C1E6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33668">
      <w:bodyDiv w:val="1"/>
      <w:marLeft w:val="0"/>
      <w:marRight w:val="0"/>
      <w:marTop w:val="0"/>
      <w:marBottom w:val="0"/>
      <w:divBdr>
        <w:top w:val="none" w:sz="0" w:space="0" w:color="auto"/>
        <w:left w:val="none" w:sz="0" w:space="0" w:color="auto"/>
        <w:bottom w:val="none" w:sz="0" w:space="0" w:color="auto"/>
        <w:right w:val="none" w:sz="0" w:space="0" w:color="auto"/>
      </w:divBdr>
    </w:div>
    <w:div w:id="659580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sv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sv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cp:keywords/>
  <dc:description/>
  <cp:lastModifiedBy>Clark, Robert Emerson</cp:lastModifiedBy>
  <cp:revision>13</cp:revision>
  <dcterms:created xsi:type="dcterms:W3CDTF">2022-04-05T00:19:00Z</dcterms:created>
  <dcterms:modified xsi:type="dcterms:W3CDTF">2022-12-29T19:43:00Z</dcterms:modified>
</cp:coreProperties>
</file>