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3885" w14:textId="77777777" w:rsidR="00371124" w:rsidRDefault="00371124" w:rsidP="0037112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A7E1D">
        <w:rPr>
          <w:rFonts w:ascii="Times New Roman" w:hAnsi="Times New Roman" w:cs="Times New Roman"/>
          <w:i/>
          <w:iCs/>
          <w:sz w:val="24"/>
          <w:szCs w:val="24"/>
        </w:rPr>
        <w:t>P10 –</w:t>
      </w:r>
      <w:r>
        <w:rPr>
          <w:rFonts w:ascii="Times New Roman" w:hAnsi="Times New Roman" w:cs="Times New Roman"/>
          <w:i/>
          <w:iCs/>
          <w:sz w:val="24"/>
          <w:szCs w:val="24"/>
        </w:rPr>
        <w:t>Leaf count diagnostics</w:t>
      </w:r>
    </w:p>
    <w:p w14:paraId="2A46BBAD" w14:textId="5298B95C" w:rsidR="00371124" w:rsidRDefault="00371124" w:rsidP="0037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our primary seven models outlined above, we performed a set of diagnostic tests to determine the impact of leaf counts on arthropod biomass among host-plant species. Leaf density or leaf area are traits relevant to herbivore community composition (Barbour et al. 2015), and leaf traits may be different in invasive plants compared to co-occurring native plants (Leishman et al. 2007)</w:t>
      </w:r>
      <w:r w:rsidRPr="00B067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1BD">
        <w:rPr>
          <w:rFonts w:ascii="Times New Roman" w:hAnsi="Times New Roman" w:cs="Times New Roman"/>
          <w:sz w:val="24"/>
          <w:szCs w:val="24"/>
        </w:rPr>
        <w:t>At the conclusion of the primary experiment in summer 2022, we counted all leaves for all 240 trees and shrubs sampled in the project.</w:t>
      </w:r>
      <w:r>
        <w:rPr>
          <w:rFonts w:ascii="Times New Roman" w:hAnsi="Times New Roman" w:cs="Times New Roman"/>
          <w:sz w:val="24"/>
          <w:szCs w:val="24"/>
        </w:rPr>
        <w:t xml:space="preserve"> In this diagnostic step, we found no evidence that leaf counts significantly impacted arthropod abundance, biomass, or bird treatment effects in this experiment (Appendix 1b: </w:t>
      </w:r>
      <w:r w:rsidRPr="00CA1BAD">
        <w:rPr>
          <w:rFonts w:ascii="Times New Roman" w:hAnsi="Times New Roman" w:cs="Times New Roman"/>
          <w:sz w:val="24"/>
          <w:szCs w:val="24"/>
        </w:rPr>
        <w:t>Leaf counting methods and data analysis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0BF2C9" w14:textId="0D6DE63C" w:rsidR="003F4E68" w:rsidRDefault="003F4E68" w:rsidP="00371124">
      <w:pPr>
        <w:rPr>
          <w:rFonts w:ascii="Times New Roman" w:hAnsi="Times New Roman" w:cs="Times New Roman"/>
          <w:sz w:val="24"/>
          <w:szCs w:val="24"/>
        </w:rPr>
      </w:pPr>
    </w:p>
    <w:p w14:paraId="721CB4AF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1b: Leaf counting methods and data analysis.</w:t>
      </w:r>
    </w:p>
    <w:p w14:paraId="524CA305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 w:rsidRPr="00FB0137">
        <w:rPr>
          <w:rFonts w:ascii="Times New Roman" w:hAnsi="Times New Roman" w:cs="Times New Roman"/>
          <w:sz w:val="24"/>
          <w:szCs w:val="24"/>
        </w:rPr>
        <w:t>After bird bag exclusions were removed, we counted all leaves using hand clicker counters</w:t>
      </w:r>
      <w:r>
        <w:rPr>
          <w:rFonts w:ascii="Times New Roman" w:hAnsi="Times New Roman" w:cs="Times New Roman"/>
          <w:sz w:val="24"/>
          <w:szCs w:val="24"/>
        </w:rPr>
        <w:t xml:space="preserve"> in August 2021</w:t>
      </w:r>
      <w:r w:rsidRPr="00FB0137">
        <w:rPr>
          <w:rFonts w:ascii="Times New Roman" w:hAnsi="Times New Roman" w:cs="Times New Roman"/>
          <w:sz w:val="24"/>
          <w:szCs w:val="24"/>
        </w:rPr>
        <w:t xml:space="preserve">. For Japanese barberry, we counted a single fascicle as one leaf. We assayed a total of 154,595 leaves using this method. </w:t>
      </w:r>
    </w:p>
    <w:p w14:paraId="6116E3FC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leaves varied significantly among the ten plant species sampled in this project (</w:t>
      </w:r>
      <w:r w:rsidRPr="00F26EFF">
        <w:rPr>
          <w:rFonts w:ascii="Times New Roman" w:hAnsi="Times New Roman" w:cs="Times New Roman"/>
          <w:sz w:val="24"/>
          <w:szCs w:val="24"/>
          <w:highlight w:val="yellow"/>
        </w:rPr>
        <w:t xml:space="preserve">GLM, Plant Species effect on leaf count, X2 =, P </w:t>
      </w:r>
      <w:proofErr w:type="gramStart"/>
      <w:r w:rsidRPr="00F26EFF">
        <w:rPr>
          <w:rFonts w:ascii="Times New Roman" w:hAnsi="Times New Roman" w:cs="Times New Roman"/>
          <w:sz w:val="24"/>
          <w:szCs w:val="24"/>
          <w:highlight w:val="yellow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. Host-plant species identity effects on arthropods or bird exclusion treatment effects could be confounded by this variation, so we employed a series of statistical tests to evaluate this issue.</w:t>
      </w:r>
    </w:p>
    <w:p w14:paraId="46352D56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observed no different in leaf counts among all ten plant species when comparing bagged (-bird) and unbagged (+bag) treatments (</w:t>
      </w:r>
      <w:r w:rsidRPr="00F26EFF">
        <w:rPr>
          <w:rFonts w:ascii="Times New Roman" w:hAnsi="Times New Roman" w:cs="Times New Roman"/>
          <w:sz w:val="24"/>
          <w:szCs w:val="24"/>
          <w:highlight w:val="yellow"/>
        </w:rPr>
        <w:t>GLM, Plant Species effect on leaf count, X2 =, P =</w:t>
      </w:r>
      <w:r>
        <w:rPr>
          <w:rFonts w:ascii="Times New Roman" w:hAnsi="Times New Roman" w:cs="Times New Roman"/>
          <w:sz w:val="24"/>
          <w:szCs w:val="24"/>
        </w:rPr>
        <w:t>). Consequently, the predator exclusion experiment was not biased by intraspecific variation in leaf number or branch size.</w:t>
      </w:r>
    </w:p>
    <w:p w14:paraId="01192093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leaf count did not significantly impact the average biomass of arthropods sampled across all host plant species (</w:t>
      </w:r>
      <w:r w:rsidRPr="00F26EFF">
        <w:rPr>
          <w:rFonts w:ascii="Times New Roman" w:hAnsi="Times New Roman" w:cs="Times New Roman"/>
          <w:sz w:val="24"/>
          <w:szCs w:val="24"/>
          <w:highlight w:val="yellow"/>
        </w:rPr>
        <w:t xml:space="preserve">GLM, </w:t>
      </w:r>
      <w:r>
        <w:rPr>
          <w:rFonts w:ascii="Times New Roman" w:hAnsi="Times New Roman" w:cs="Times New Roman"/>
          <w:sz w:val="24"/>
          <w:szCs w:val="24"/>
          <w:highlight w:val="yellow"/>
        </w:rPr>
        <w:t>leaf count effect on biomass</w:t>
      </w:r>
      <w:r w:rsidRPr="00F26EFF">
        <w:rPr>
          <w:rFonts w:ascii="Times New Roman" w:hAnsi="Times New Roman" w:cs="Times New Roman"/>
          <w:sz w:val="24"/>
          <w:szCs w:val="24"/>
          <w:highlight w:val="yellow"/>
        </w:rPr>
        <w:t>, X2 =, P =</w:t>
      </w:r>
      <w:r>
        <w:rPr>
          <w:rFonts w:ascii="Times New Roman" w:hAnsi="Times New Roman" w:cs="Times New Roman"/>
          <w:sz w:val="24"/>
          <w:szCs w:val="24"/>
        </w:rPr>
        <w:t>). Therefore, within the range of branches selected in this experiment, plants with more leaves did not have more arthropod biomass available to birds.</w:t>
      </w:r>
    </w:p>
    <w:p w14:paraId="3C036332" w14:textId="77777777" w:rsidR="003F4E68" w:rsidRDefault="003F4E68" w:rsidP="003F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we ruled out the importance of leaf counts as an important co-variate to include in GLMM’s using an AIC based model selection approach. For a fully specified GLM with plant species, bird treatment, leaf counts and the response of total arthropod biomass, removing leaf count led to a reduction in AIC.</w:t>
      </w:r>
    </w:p>
    <w:p w14:paraId="4C263DC6" w14:textId="77777777" w:rsidR="003F4E68" w:rsidRDefault="003F4E68" w:rsidP="00371124"/>
    <w:sectPr w:rsidR="003F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24"/>
    <w:rsid w:val="00371124"/>
    <w:rsid w:val="003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14CF"/>
  <w15:chartTrackingRefBased/>
  <w15:docId w15:val="{BCED5200-9384-42D8-9CD3-EA76E34B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2</cp:revision>
  <dcterms:created xsi:type="dcterms:W3CDTF">2022-09-06T12:31:00Z</dcterms:created>
  <dcterms:modified xsi:type="dcterms:W3CDTF">2022-09-07T13:57:00Z</dcterms:modified>
</cp:coreProperties>
</file>