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600"/>
              <w:left w:type="dxa" w:w="500"/>
              <w:bottom w:type="dxa" w:w="600"/>
              <w:right w:type="dxa" w:w="500"/>
            </w:tcMar>
          </w:tcPr>
          <w:p>
            <w:pPr>
              <w:spacing w:after="160"/>
              <w:jc w:val="center"/>
            </w:pPr>
            <w:r>
              <w:rPr>
                <w:rFonts w:ascii="Arial" w:cs="Arial" w:eastAsia="Arial" w:hAnsi="Arial"/>
                <w:b/>
                <w:bCs/>
                <w:color w:val="FFFFFF"/>
                <w:sz w:val="50"/>
                <w:szCs w:val="50"/>
              </w:rPr>
              <w:t xml:space="preserve">InwardJourney HTML App</w:t>
            </w:r>
          </w:p>
          <w:p>
            <w:pPr>
              <w:spacing w:after="120"/>
              <w:jc w:val="center"/>
            </w:pPr>
            <w:r>
              <w:rPr>
                <w:rFonts w:ascii="Arial" w:cs="Arial" w:eastAsia="Arial" w:hAnsi="Arial"/>
                <w:color w:val="B0C4DE"/>
                <w:sz w:val="32"/>
                <w:szCs w:val="32"/>
              </w:rPr>
              <w:t xml:space="preserve">Metrics &amp; KPI Analysis</w:t>
            </w:r>
          </w:p>
          <w:p>
            <w:pPr>
              <w:spacing w:after="100"/>
              <w:jc w:val="center"/>
            </w:pPr>
            <w:r>
              <w:rPr>
                <w:rFonts w:ascii="Arial" w:cs="Arial" w:eastAsia="Arial" w:hAnsi="Arial"/>
                <w:color w:val="8BA5C4"/>
                <w:sz w:val="20"/>
                <w:szCs w:val="20"/>
              </w:rPr>
              <w:t xml:space="preserve">Similarity · Differences · Unique Metrics · Recommended Additions</w:t>
            </w:r>
          </w:p>
          <w:p>
            <w:pPr>
              <w:jc w:val="center"/>
            </w:pPr>
            <w:r>
              <w:rPr>
                <w:rFonts w:ascii="Arial" w:cs="Arial" w:eastAsia="Arial" w:hAnsi="Arial"/>
                <w:i/>
                <w:iCs/>
                <w:color w:val="6A90B8"/>
                <w:sz w:val="16"/>
                <w:szCs w:val="16"/>
              </w:rPr>
              <w:t xml:space="preserve">Neuro-Philosophical Detector · Muse S EEG × Yogic Framework</w:t>
            </w:r>
          </w:p>
        </w:tc>
      </w:tr>
    </w:tbl>
    <w:p>
      <w:pPr>
        <w:spacing w:after="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EBF8" w:val="clear"/>
            <w:tcMar>
              <w:top w:type="dxa" w:w="120"/>
              <w:left w:type="dxa" w:w="80"/>
              <w:bottom w:type="dxa" w:w="120"/>
              <w:right w:type="dxa" w:w="80"/>
            </w:tcMar>
          </w:tcPr>
          <w:p>
            <w:pPr>
              <w:spacing w:after="40"/>
              <w:jc w:val="center"/>
            </w:pPr>
            <w:r>
              <w:rPr>
                <w:rFonts w:ascii="Arial" w:cs="Arial" w:eastAsia="Arial" w:hAnsi="Arial"/>
                <w:b/>
                <w:bCs/>
                <w:color w:val="4A2580"/>
                <w:sz w:val="36"/>
                <w:szCs w:val="36"/>
              </w:rPr>
              <w:t xml:space="preserve">37</w:t>
            </w:r>
          </w:p>
          <w:p>
            <w:pPr>
              <w:jc w:val="center"/>
            </w:pPr>
            <w:r>
              <w:rPr>
                <w:rFonts w:ascii="Arial" w:cs="Arial" w:eastAsia="Arial" w:hAnsi="Arial"/>
                <w:color w:val="4A2580"/>
                <w:sz w:val="14"/>
                <w:szCs w:val="14"/>
              </w:rPr>
              <w:t xml:space="preserve">Total app metrics</w:t>
            </w:r>
          </w:p>
        </w:tc>
        <w:tc>
          <w:tcPr>
            <w:tcW w:type="dxa" w:w="1560"/>
            <w:tcBorders>
              <w:top w:val="single" w:color="CCCCCC" w:sz="1"/>
              <w:left w:val="single" w:color="CCCCCC" w:sz="1"/>
              <w:bottom w:val="single" w:color="CCCCCC" w:sz="1"/>
              <w:right w:val="single" w:color="CCCCCC" w:sz="1"/>
            </w:tcBorders>
            <w:shd w:fill="E8F5EC" w:val="clear"/>
            <w:tcMar>
              <w:top w:type="dxa" w:w="120"/>
              <w:left w:type="dxa" w:w="80"/>
              <w:bottom w:type="dxa" w:w="120"/>
              <w:right w:type="dxa" w:w="80"/>
            </w:tcMar>
          </w:tcPr>
          <w:p>
            <w:pPr>
              <w:spacing w:after="40"/>
              <w:jc w:val="center"/>
            </w:pPr>
            <w:r>
              <w:rPr>
                <w:rFonts w:ascii="Arial" w:cs="Arial" w:eastAsia="Arial" w:hAnsi="Arial"/>
                <w:b/>
                <w:bCs/>
                <w:color w:val="2A6B3A"/>
                <w:sz w:val="36"/>
                <w:szCs w:val="36"/>
              </w:rPr>
              <w:t xml:space="preserve">14</w:t>
            </w:r>
          </w:p>
          <w:p>
            <w:pPr>
              <w:jc w:val="center"/>
            </w:pPr>
            <w:r>
              <w:rPr>
                <w:rFonts w:ascii="Arial" w:cs="Arial" w:eastAsia="Arial" w:hAnsi="Arial"/>
                <w:color w:val="2A6B3A"/>
                <w:sz w:val="14"/>
                <w:szCs w:val="14"/>
              </w:rPr>
              <w:t xml:space="preserve">Shared w/ docs</w:t>
            </w:r>
          </w:p>
        </w:tc>
        <w:tc>
          <w:tcPr>
            <w:tcW w:type="dxa" w:w="1560"/>
            <w:tcBorders>
              <w:top w:val="single" w:color="CCCCCC" w:sz="1"/>
              <w:left w:val="single" w:color="CCCCCC" w:sz="1"/>
              <w:bottom w:val="single" w:color="CCCCCC" w:sz="1"/>
              <w:right w:val="single" w:color="CCCCCC" w:sz="1"/>
            </w:tcBorders>
            <w:shd w:fill="FEF6E4" w:val="clear"/>
            <w:tcMar>
              <w:top w:type="dxa" w:w="120"/>
              <w:left w:type="dxa" w:w="80"/>
              <w:bottom w:type="dxa" w:w="120"/>
              <w:right w:type="dxa" w:w="80"/>
            </w:tcMar>
          </w:tcPr>
          <w:p>
            <w:pPr>
              <w:spacing w:after="40"/>
              <w:jc w:val="center"/>
            </w:pPr>
            <w:r>
              <w:rPr>
                <w:rFonts w:ascii="Arial" w:cs="Arial" w:eastAsia="Arial" w:hAnsi="Arial"/>
                <w:b/>
                <w:bCs/>
                <w:color w:val="7D5A0A"/>
                <w:sz w:val="36"/>
                <w:szCs w:val="36"/>
              </w:rPr>
              <w:t xml:space="preserve">10</w:t>
            </w:r>
          </w:p>
          <w:p>
            <w:pPr>
              <w:jc w:val="center"/>
            </w:pPr>
            <w:r>
              <w:rPr>
                <w:rFonts w:ascii="Arial" w:cs="Arial" w:eastAsia="Arial" w:hAnsi="Arial"/>
                <w:color w:val="7D5A0A"/>
                <w:sz w:val="14"/>
                <w:szCs w:val="14"/>
              </w:rPr>
              <w:t xml:space="preserve">Different impl.</w:t>
            </w:r>
          </w:p>
        </w:tc>
        <w:tc>
          <w:tcPr>
            <w:tcW w:type="dxa" w:w="1560"/>
            <w:tcBorders>
              <w:top w:val="single" w:color="CCCCCC" w:sz="1"/>
              <w:left w:val="single" w:color="CCCCCC" w:sz="1"/>
              <w:bottom w:val="single" w:color="CCCCCC" w:sz="1"/>
              <w:right w:val="single" w:color="CCCCCC" w:sz="1"/>
            </w:tcBorders>
            <w:shd w:fill="FCEAEA" w:val="clear"/>
            <w:tcMar>
              <w:top w:type="dxa" w:w="120"/>
              <w:left w:type="dxa" w:w="80"/>
              <w:bottom w:type="dxa" w:w="120"/>
              <w:right w:type="dxa" w:w="80"/>
            </w:tcMar>
          </w:tcPr>
          <w:p>
            <w:pPr>
              <w:spacing w:after="40"/>
              <w:jc w:val="center"/>
            </w:pPr>
            <w:r>
              <w:rPr>
                <w:rFonts w:ascii="Arial" w:cs="Arial" w:eastAsia="Arial" w:hAnsi="Arial"/>
                <w:b/>
                <w:bCs/>
                <w:color w:val="8B2222"/>
                <w:sz w:val="36"/>
                <w:szCs w:val="36"/>
              </w:rPr>
              <w:t xml:space="preserve">13</w:t>
            </w:r>
          </w:p>
          <w:p>
            <w:pPr>
              <w:jc w:val="center"/>
            </w:pPr>
            <w:r>
              <w:rPr>
                <w:rFonts w:ascii="Arial" w:cs="Arial" w:eastAsia="Arial" w:hAnsi="Arial"/>
                <w:color w:val="8B2222"/>
                <w:sz w:val="14"/>
                <w:szCs w:val="14"/>
              </w:rPr>
              <w:t xml:space="preserve">App-unique</w:t>
            </w:r>
          </w:p>
        </w:tc>
        <w:tc>
          <w:tcPr>
            <w:tcW w:type="dxa" w:w="1560"/>
            <w:tcBorders>
              <w:top w:val="single" w:color="CCCCCC" w:sz="1"/>
              <w:left w:val="single" w:color="CCCCCC" w:sz="1"/>
              <w:bottom w:val="single" w:color="CCCCCC" w:sz="1"/>
              <w:right w:val="single" w:color="CCCCCC" w:sz="1"/>
            </w:tcBorders>
            <w:shd w:fill="E6EFF9" w:val="clear"/>
            <w:tcMar>
              <w:top w:type="dxa" w:w="120"/>
              <w:left w:type="dxa" w:w="80"/>
              <w:bottom w:type="dxa" w:w="120"/>
              <w:right w:type="dxa" w:w="80"/>
            </w:tcMar>
          </w:tcPr>
          <w:p>
            <w:pPr>
              <w:spacing w:after="40"/>
              <w:jc w:val="center"/>
            </w:pPr>
            <w:r>
              <w:rPr>
                <w:rFonts w:ascii="Arial" w:cs="Arial" w:eastAsia="Arial" w:hAnsi="Arial"/>
                <w:b/>
                <w:bCs/>
                <w:color w:val="1A4A8A"/>
                <w:sz w:val="36"/>
                <w:szCs w:val="36"/>
              </w:rPr>
              <w:t xml:space="preserve">22</w:t>
            </w:r>
          </w:p>
          <w:p>
            <w:pPr>
              <w:jc w:val="center"/>
            </w:pPr>
            <w:r>
              <w:rPr>
                <w:rFonts w:ascii="Arial" w:cs="Arial" w:eastAsia="Arial" w:hAnsi="Arial"/>
                <w:color w:val="1A4A8A"/>
                <w:sz w:val="14"/>
                <w:szCs w:val="14"/>
              </w:rPr>
              <w:t xml:space="preserve">Docs-only (missing)</w:t>
            </w:r>
          </w:p>
        </w:tc>
        <w:tc>
          <w:tcPr>
            <w:tcW w:type="dxa" w:w="1560"/>
            <w:tcBorders>
              <w:top w:val="single" w:color="CCCCCC" w:sz="1"/>
              <w:left w:val="single" w:color="CCCCCC" w:sz="1"/>
              <w:bottom w:val="single" w:color="CCCCCC" w:sz="1"/>
              <w:right w:val="single" w:color="CCCCCC" w:sz="1"/>
            </w:tcBorders>
            <w:shd w:fill="E2F3F3" w:val="clear"/>
            <w:tcMar>
              <w:top w:type="dxa" w:w="120"/>
              <w:left w:type="dxa" w:w="80"/>
              <w:bottom w:type="dxa" w:w="120"/>
              <w:right w:type="dxa" w:w="80"/>
            </w:tcMar>
          </w:tcPr>
          <w:p>
            <w:pPr>
              <w:spacing w:after="40"/>
              <w:jc w:val="center"/>
            </w:pPr>
            <w:r>
              <w:rPr>
                <w:rFonts w:ascii="Arial" w:cs="Arial" w:eastAsia="Arial" w:hAnsi="Arial"/>
                <w:b/>
                <w:bCs/>
                <w:color w:val="0A5A5A"/>
                <w:sz w:val="36"/>
                <w:szCs w:val="36"/>
              </w:rPr>
              <w:t xml:space="preserve">18</w:t>
            </w:r>
          </w:p>
          <w:p>
            <w:pPr>
              <w:jc w:val="center"/>
            </w:pPr>
            <w:r>
              <w:rPr>
                <w:rFonts w:ascii="Arial" w:cs="Arial" w:eastAsia="Arial" w:hAnsi="Arial"/>
                <w:color w:val="0A5A5A"/>
                <w:sz w:val="14"/>
                <w:szCs w:val="14"/>
              </w:rPr>
              <w:t xml:space="preserve">Recommended adds</w:t>
            </w:r>
          </w:p>
        </w:tc>
      </w:tr>
    </w:tbl>
    <w:p>
      <w:pPr>
        <w:spacing w:after="160"/>
      </w:pPr>
      <w:r>
        <w:t xml:space="preserve"/>
      </w:r>
    </w:p>
    <w:p>
      <w:r>
        <w:br w:type="page"/>
      </w:r>
    </w:p>
    <w:p>
      <w:pPr>
        <w:pStyle w:val="Heading1"/>
        <w:spacing w:after="120" w:before="380"/>
      </w:pPr>
      <w:r>
        <w:rPr>
          <w:rFonts w:ascii="Arial" w:cs="Arial" w:eastAsia="Arial" w:hAnsi="Arial"/>
          <w:b/>
          <w:bCs/>
          <w:color w:val="1B2A4A"/>
          <w:sz w:val="18"/>
          <w:szCs w:val="18"/>
        </w:rPr>
        <w:t xml:space="preserve">1. Complete Metric Inventory — InwardJourney HTML App</w:t>
      </w:r>
    </w:p>
    <w:p>
      <w:pPr>
        <w:spacing w:after="150"/>
      </w:pPr>
      <w:r>
        <w:rPr>
          <w:rFonts w:ascii="Arial" w:cs="Arial" w:eastAsia="Arial" w:hAnsi="Arial"/>
          <w:color w:val="1A1A1A"/>
          <w:sz w:val="19"/>
          <w:szCs w:val="19"/>
        </w:rPr>
        <w:t xml:space="preserve">The InwardJourney app parses a Mind Monitor CSV export from Muse S EEG headband and computes 37 distinct metrics across five analysis tabs: Yogic States, Sāṃkhya, Patañjali Yoga Sūtras, Kashmir Śaivism, and Conclusion. Metrics are organized into three tiers: raw EEG band signals, derived physiological signals, and composite KPIs built from those raw signals.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580" w:sz="1"/>
              <w:left w:val="single" w:color="4A2580" w:sz="1"/>
              <w:bottom w:val="single" w:color="4A2580" w:sz="1"/>
              <w:right w:val="single" w:color="4A2580" w:sz="1"/>
            </w:tcBorders>
            <w:shd w:fill="F0EBF8" w:val="clear"/>
            <w:tcMar>
              <w:top w:type="dxa" w:w="120"/>
              <w:left w:type="dxa" w:w="200"/>
              <w:bottom w:type="dxa" w:w="120"/>
              <w:right w:type="dxa" w:w="200"/>
            </w:tcMar>
          </w:tcPr>
          <w:p>
            <w:r>
              <w:rPr>
                <w:rFonts w:ascii="Arial" w:cs="Arial" w:eastAsia="Arial" w:hAnsi="Arial"/>
                <w:b/>
                <w:bCs/>
                <w:color w:val="4A2580"/>
                <w:sz w:val="22"/>
                <w:szCs w:val="22"/>
              </w:rPr>
              <w:t xml:space="preserve">Tier 1 — Raw EEG band signals (10)  </w:t>
            </w:r>
            <w:r>
              <w:rPr>
                <w:rFonts w:ascii="Arial" w:cs="Arial" w:eastAsia="Arial" w:hAnsi="Arial"/>
                <w:color w:val="4A2580"/>
                <w:sz w:val="16"/>
                <w:szCs w:val="16"/>
              </w:rPr>
              <w:t xml:space="preserve">Delta · Theta · Alpha (global + frontal + temporal) · Beta (+ neg%) · Gamma (+ neg%) · CV(α)</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1.1 EEG band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4A2580"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200"/>
            <w:tcBorders>
              <w:top w:val="single" w:color="CCCCCC" w:sz="1"/>
              <w:left w:val="single" w:color="CCCCCC" w:sz="1"/>
              <w:bottom w:val="single" w:color="CCCCCC" w:sz="1"/>
              <w:right w:val="single" w:color="CCCCCC" w:sz="1"/>
            </w:tcBorders>
            <w:shd w:fill="4A2580" w:val="clear"/>
            <w:tcMar>
              <w:top w:type="dxa" w:w="80"/>
              <w:left w:type="dxa" w:w="110"/>
              <w:bottom w:type="dxa" w:w="80"/>
              <w:right w:type="dxa" w:w="110"/>
            </w:tcMar>
            <w:vAlign w:val="center"/>
          </w:tcPr>
          <w:p>
            <w:r>
              <w:rPr>
                <w:rFonts w:ascii="Arial" w:cs="Arial" w:eastAsia="Arial" w:hAnsi="Arial"/>
                <w:b/>
                <w:bCs/>
                <w:color w:val="FFFFFF"/>
                <w:sz w:val="15"/>
                <w:szCs w:val="15"/>
              </w:rPr>
              <w:t xml:space="preserve">Computation</w:t>
            </w:r>
          </w:p>
        </w:tc>
        <w:tc>
          <w:tcPr>
            <w:tcW w:type="dxa" w:w="2800"/>
            <w:tcBorders>
              <w:top w:val="single" w:color="CCCCCC" w:sz="1"/>
              <w:left w:val="single" w:color="CCCCCC" w:sz="1"/>
              <w:bottom w:val="single" w:color="CCCCCC" w:sz="1"/>
              <w:right w:val="single" w:color="CCCCCC" w:sz="1"/>
            </w:tcBorders>
            <w:shd w:fill="4A2580" w:val="clear"/>
            <w:tcMar>
              <w:top w:type="dxa" w:w="80"/>
              <w:left w:type="dxa" w:w="110"/>
              <w:bottom w:type="dxa" w:w="80"/>
              <w:right w:type="dxa" w:w="110"/>
            </w:tcMar>
            <w:vAlign w:val="center"/>
          </w:tcPr>
          <w:p>
            <w:r>
              <w:rPr>
                <w:rFonts w:ascii="Arial" w:cs="Arial" w:eastAsia="Arial" w:hAnsi="Arial"/>
                <w:b/>
                <w:bCs/>
                <w:color w:val="FFFFFF"/>
                <w:sz w:val="15"/>
                <w:szCs w:val="15"/>
              </w:rPr>
              <w:t xml:space="preserve">Philosophical meaning</w:t>
            </w:r>
          </w:p>
        </w:tc>
        <w:tc>
          <w:tcPr>
            <w:tcW w:type="dxa" w:w="2360"/>
            <w:tcBorders>
              <w:top w:val="single" w:color="CCCCCC" w:sz="1"/>
              <w:left w:val="single" w:color="CCCCCC" w:sz="1"/>
              <w:bottom w:val="single" w:color="CCCCCC" w:sz="1"/>
              <w:right w:val="single" w:color="CCCCCC" w:sz="1"/>
            </w:tcBorders>
            <w:shd w:fill="4A2580" w:val="clear"/>
            <w:tcMar>
              <w:top w:type="dxa" w:w="80"/>
              <w:left w:type="dxa" w:w="110"/>
              <w:bottom w:type="dxa" w:w="80"/>
              <w:right w:type="dxa" w:w="110"/>
            </w:tcMar>
            <w:vAlign w:val="center"/>
          </w:tcPr>
          <w:p>
            <w:r>
              <w:rPr>
                <w:rFonts w:ascii="Arial" w:cs="Arial" w:eastAsia="Arial" w:hAnsi="Arial"/>
                <w:b/>
                <w:bCs/>
                <w:color w:val="FFFFFF"/>
                <w:sz w:val="15"/>
                <w:szCs w:val="15"/>
              </w:rPr>
              <w:t xml:space="preserve">Used in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Delta (δ)
4-channel average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(TP9+AF7+AF8+TP10)/4 delta band</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Deep rest; Mūḍha state; Yoga Nidra local-sleep; Nidrā vritti proxy</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Segment table, band chart, Mūḍha score input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Theta (θ)
4-channel average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(TP9+AF7+AF8+TP10)/4 theta band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Dharana depth; Sm̥rti vritti proxy; Savitarka samadhi marker</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Chitta bhumi chart, limb scores, Savitarka</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Alpha (α) — global</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(TP9+AF7+AF8+TP10)/4 alpha band</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Primary calm-awareness signal; Sattva proxy; Ekāgra core input</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MDS, Ekāgra, Sattva, Buddhi, Pratyahara, stats bar</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 — frontal split
(alpha_af)</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(AF7+AF8)/2 — frontal alpha only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Pratyahara: temporal&gt;frontal shift marks sensory withdrawal</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Pratyahara score formula</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Alpha — temporal split
(alpha_tp)</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(TP9+TP10)/2 — temporal alpha only</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Sensory withdrawal marker (temporal alpha &gt; frontal = inward turn)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Pratyahara score formula</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Beta (β)
4-channel average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(TP9+AF7+AF8+TP10)/4 beta band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Rajas marker; Ahaṃkāra proxy; analytical mind; Kalā kañcuka</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Rajas, Ahaṃkāra, Kṣipta, Kalā mapping</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Beta negative %
(beta_neg_pct)</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 of rows where β &lt; 0 across full session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Beta suppression depth; key Dhyāna quality marker; Buddhi input</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Conclusion tab, Prakṛti quieting</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Gamma (γ)
4-channel average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(TP9+AF7+AF8+TP10)/4 gamma band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Vidyā kañcuka; Savitarka; advanced absorption marker</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Vidyā kañcuka display</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Gamma negative %
(gamma_neg_pct)</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 of rows where γ &lt; 0 across full session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Cognitive processing minimization; Manas score input</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Conclusion tab, Manas score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CV(α) — coefficient of variation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std(α)/|avg(α)| per segment</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 stability = vritti reduction. Low CV = steady citta. High CV = vritti present</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Vikṣipta score, Ekāgra, MDS, Spanda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1"/>
              <w:bottom w:val="single" w:color="1A4A8A" w:sz="1"/>
              <w:right w:val="single" w:color="1A4A8A" w:sz="1"/>
            </w:tcBorders>
            <w:shd w:fill="E6EFF9" w:val="clear"/>
            <w:tcMar>
              <w:top w:type="dxa" w:w="120"/>
              <w:left w:type="dxa" w:w="200"/>
              <w:bottom w:type="dxa" w:w="120"/>
              <w:right w:type="dxa" w:w="200"/>
            </w:tcMar>
          </w:tcPr>
          <w:p>
            <w:r>
              <w:rPr>
                <w:rFonts w:ascii="Arial" w:cs="Arial" w:eastAsia="Arial" w:hAnsi="Arial"/>
                <w:b/>
                <w:bCs/>
                <w:color w:val="1A4A8A"/>
                <w:sz w:val="22"/>
                <w:szCs w:val="22"/>
              </w:rPr>
              <w:t xml:space="preserve">Tier 2 — Derived physiological signals (7)  </w:t>
            </w:r>
            <w:r>
              <w:rPr>
                <w:rFonts w:ascii="Arial" w:cs="Arial" w:eastAsia="Arial" w:hAnsi="Arial"/>
                <w:color w:val="1A4A8A"/>
                <w:sz w:val="16"/>
                <w:szCs w:val="16"/>
              </w:rPr>
              <w:t xml:space="preserve">HR avg/min/max/std · Blink rate · Jaw-clench rate · Gyro magnitude · Gyro max · FAI · Alpha%</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1.2 Physiological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2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Computation</w:t>
            </w:r>
          </w:p>
        </w:tc>
        <w:tc>
          <w:tcPr>
            <w:tcW w:type="dxa" w:w="28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Philosophical meaning</w:t>
            </w:r>
          </w:p>
        </w:tc>
        <w:tc>
          <w:tcPr>
            <w:tcW w:type="dxa" w:w="236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Used in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Heart Rate avg/min/max</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Mean, min, max of HR values per segment and session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ANS state; Mūḍha (low HR); effort proxy; Rāga kañcuka via HR range</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Stats bar, Rāga kañcuka, effort index</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HR standard deviation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std(HR) per segment</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Rough HRV proxy (not RMSSD); cardiac stability marker</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Kṣipta score, Mūḍha score, MDS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Blink rate (blinks/min)</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Count /muse/elements/blink events ÷ segment duration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Sensory withdrawal depth; Pratyahara primary input; near-cessation marker</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Stats bar, Pratyahara, Ekāgra, MDS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Jaw-clench rate (jaws/min)</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Count /muse/elements/jaw_clench events ÷ duration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Tension/concentration effort indicator; Pratyahara secondary input</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Pratyahara score formula</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Gyroscope magnitude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√(Gx²+Gy²+Gz²) per sample, averaged per segment</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Head motion proxy for body stillness; Sthira quality marker</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Kṣipta, Mūḍha, Pratyahara, MDS, Upaya classifier</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Gyroscope max per segment</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Peak gyro value in segment</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Disturbance spike detection; single movement artifact flag</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Sthira quality check</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Frontal Alpha Asymmetry (FAI)</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1 − |AF8−AF7| / (|AF8|+|AF7|+ε); near 1 = balanced</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Hemispheric balance; emotional regulation; Niyati kañcuka (spatial limitation)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Kañcuka display, first-segment value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 % of total power</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|α| / (|δ|+|θ|+|α|+|β|+|γ|) × 100</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Relative alpha dominance independent of absolute values</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Patañjali tab vritti chart</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B3A" w:sz="1"/>
              <w:left w:val="single" w:color="2A6B3A" w:sz="1"/>
              <w:bottom w:val="single" w:color="2A6B3A" w:sz="1"/>
              <w:right w:val="single" w:color="2A6B3A" w:sz="1"/>
            </w:tcBorders>
            <w:shd w:fill="E8F5EC" w:val="clear"/>
            <w:tcMar>
              <w:top w:type="dxa" w:w="120"/>
              <w:left w:type="dxa" w:w="200"/>
              <w:bottom w:type="dxa" w:w="120"/>
              <w:right w:type="dxa" w:w="200"/>
            </w:tcMar>
          </w:tcPr>
          <w:p>
            <w:r>
              <w:rPr>
                <w:rFonts w:ascii="Arial" w:cs="Arial" w:eastAsia="Arial" w:hAnsi="Arial"/>
                <w:b/>
                <w:bCs/>
                <w:color w:val="2A6B3A"/>
                <w:sz w:val="22"/>
                <w:szCs w:val="22"/>
              </w:rPr>
              <w:t xml:space="preserve">Tier 3 — Composite KPIs (24)  </w:t>
            </w:r>
            <w:r>
              <w:rPr>
                <w:rFonts w:ascii="Arial" w:cs="Arial" w:eastAsia="Arial" w:hAnsi="Arial"/>
                <w:color w:val="2A6B3A"/>
                <w:sz w:val="16"/>
                <w:szCs w:val="16"/>
              </w:rPr>
              <w:t xml:space="preserve">Chitta states (5) · Inner limbs (4) · Gunas (3) · Antahkarana (4) · Master composites (3) · Kañcukas (5)</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1.3 Composite KPI formulas and philosophical mapping</w:t>
      </w:r>
    </w:p>
    <w:p>
      <w:pPr>
        <w:spacing w:after="150"/>
      </w:pPr>
      <w:r>
        <w:rPr>
          <w:rFonts w:ascii="Arial" w:cs="Arial" w:eastAsia="Arial" w:hAnsi="Arial"/>
          <w:color w:val="1A1A1A"/>
          <w:sz w:val="19"/>
          <w:szCs w:val="19"/>
        </w:rPr>
        <w:t xml:space="preserve">All composite scores are computed per ~5-minute segment and then averaged for session-level KPIs. Formulas are extracted directly from the JavaScript source of InwardJourney.html.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KPI</w:t>
            </w:r>
          </w:p>
        </w:tc>
        <w:tc>
          <w:tcPr>
            <w:tcW w:type="dxa" w:w="22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Formula (extracted from source)</w:t>
            </w:r>
          </w:p>
        </w:tc>
        <w:tc>
          <w:tcPr>
            <w:tcW w:type="dxa" w:w="28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36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Output in app</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Kṣipta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0.35·clamp(|β|/|α|/3,0,1) + 0.25·clamp(blink/20,0,1) + 0.20·clamp(gyro/50,0,1) + 0.20·clamp(std(HR)/HR,0,1)</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Scattered mind — high β/α ratio + motion + blinks + HR variability</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Chitta state chart, dominant state label</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Mūḍha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0.35·|δ|/total + 0.30·σ(θ−α) + 0.15·(1−gyro/5) + 0.20·σ(65−HR); × 0.3 if α&gt;0.05</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Dull/inert state — δ dominant, θ&gt;α, low HR, still body</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Chitta state chart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Vikṣipta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0.50·clamp(CV/2,0,1) + 0.25·(1−Kṣipta) + 0.25·(1−Ekāgra)·α&lt;0.01?0.5:1</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Oscillating — high alpha instability, neither scattered nor focused</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Chitta state chart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Ekāgra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0.25·(α&gt;max(β,θ,γ)&amp;&amp;α&gt;0.05) + 0.25·cvok + 0.20·(β&lt;0) + 0.15·(gyro&lt;2) + 0.15·(blink&lt;2)</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One-pointed — α dominant + stable + β suppressed + still + few blinks</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Core input for Dhāraṇā, Dhyāna, MDS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Niruddha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0.30·(θ≥α&amp;&amp;α&gt;0) + 0.20·(|δ|&lt;0.1|θ|&amp;&amp;|θ|&gt;0.01) + 0.15·σ(0.85·HR−HR) + 0.15·(gyro&lt;0.3)</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Mastered mind — θ≥α, δ minimal vs θ, very still, HR sigmoid low</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Chitta state chart (typically rare)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Pratyāhāra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0.30·(1−blink/15) + 0.15·(1−jaw/2) + 0.25·(1−gyro/10) + 0.30·σ(alpha_tp − alpha_af)</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Sensory withdrawal — low blinks/jaws/motion + temporal&gt;frontal alpha shift</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Limb activation chart, Samyama chart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Dhāraṇā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Ekāgra·(1+effort) if Ekāgra&gt;0.5 AND effort&gt;0.05, else 0</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Effortful one-pointed focus — only active when genuinely concentrated with HR elevation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Limb chart, Patañjali analysis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Dhyāna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0.25·cvok + 0.25·(1−effort/0.5) + 0.20·(Ekāgra&gt;0.7) + 0.15·|min(β,0)| + 0.15·(HR dropping) × 0.3 if effort≥0.05 or Ekāgra≤0.5</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Effortless flow — Ekāgra high + effort near zero + β suppressed + HR declining</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Limb chart, Samyama progression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Savitarka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0.30·(θ≥0.8α&amp;&amp;α&gt;0.01) + 0.20·(δ&lt;θ) + 0.20·clamp(1−|beta_af|,0,1) + 0.15·(HR&lt;baseline×0.9)</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Seed-supported absorption — θ comparable to α, δ minimal, β frontal suppressed, low HR</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Limb chart, Samyama</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Sattva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0.35·max(0,α)/total + 0.25·|min(β,0)|/total + 0.20·cvok + 0.20·clamp(1−gyro/10,0,1)</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Clarity guna — α dominant + β suppressed + stable + still</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Guna balance chart, Buddhi purity</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Rajas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0.40·max(0,β)/total + 0.20·blink/20 + 0.20·gyro/20 + 0.20·clamp((HR−60)/40,0,1)</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Activity guna — β high + blinks + motion + elevated HR</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Guna balance chart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Tamas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0.50·max(0,δ)/total·(α&lt;0.05?1:0.3) + 0.30·max(0,1−α)</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Inertia guna — δ dominant when α is absent; sluggish awareness</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Guna balance chart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Buddhi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clamp(α×2 + |min(β,0)|, 0, 1)</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Discriminative intelligence — strong alpha coherence + beta suppression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Purusha-Prakriti stack</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Ahaṃkāra score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clamp(max(0,β)×3 + (1−beta_neg_pct/100), 0, 1)</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Ego-sense — active beta + sustained beta positivity across session</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Purusha-Prakriti stack</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Manas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clamp(blink_rate/20 + (1−gamma_neg_pct/100), 0, 1)</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Sensory mind — blink rate + gamma processing activity</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Purusha-Prakriti stack</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Prakṛti quieting</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clamp(1 − Ahaṃkāra×0.4 − Manas×0.3 − max(0,β)×0.3, 0, 1)</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Mind-field stillness — how clearly Puruṣa's reflection is possible</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Purusha-Prakriti display, %</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MDS — Meditation Depth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0.25·α + 0.20·cvok + 0.15·|min(β,0)| + 0.15·(1−gyro/50) + 0.10·(1−blink/20) + 0.10·(1−(HR_max−HR_min)/HR_avg) + 0.05·|min(γ,0)|</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Master 7-component depth score — comprehensive session quality metric</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Stats bar primary KPI; session table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Effort index</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clamp((HR_current − HR_baseline)/HR_baseline, 0, 0.5); baseline = first segment HR</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HR elevation from baseline — separates Dhāraṇā (effortful) from Dhyāna (effortless)</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Stats bar; Dhāraṇā/Dhyāna gate</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Spanda index</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mean(CV(α) × max(0, θ)) across session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Kashmir Śaivism cosmic vibration proxy — alpha pulsation × theta depth</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KS tab display</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Kalā → β power</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β band value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Limited agency (Kañcuka 1) — maps excessive doer-sense to beta</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KS tab 5-kañcuka grid</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Vidyā → γ power</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γ band value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Limited knowing (Kañcuka 2) — maps cognitive processing limitation to gamma</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KS tab 5-kañcuka grid</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Rāga → HR range</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HR_max − HR_min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Attachment (Kañcuka 3) — emotional attachment mapped to cardiac variability</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KS tab 5-kañcuka grid</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Kāla → α power</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α band value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Time limitation (Kañcuka 4) — temporal consciousness mapped to alpha</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KS tab 5-kañcuka grid</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Niyati → FAI</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Frontal Alpha Asymmetry index</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Space/causality limitation (Kañcuka 5) — spatial consciousness mapped to hemispheric balance</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KS tab 5-kañcuka grid</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2. Shared Metrics — Same in App and Research Documents</w:t>
      </w:r>
    </w:p>
    <w:p>
      <w:pPr>
        <w:spacing w:after="150"/>
      </w:pPr>
      <w:r>
        <w:rPr>
          <w:rFonts w:ascii="Arial" w:cs="Arial" w:eastAsia="Arial" w:hAnsi="Arial"/>
          <w:color w:val="1A1A1A"/>
          <w:sz w:val="19"/>
          <w:szCs w:val="19"/>
        </w:rPr>
        <w:t xml:space="preserve">These 14 metrics appear in both the InwardJourney HTML app and the research docx files (Samkhya, Yoga Sutras/Ashtanga, Kashmiri Shaivism, Multi-tradition) with the same philosophical intent and broadly equivalent formulas. Where minor formula differences exist, they are noted.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B3A" w:sz="1"/>
              <w:left w:val="single" w:color="2A6B3A" w:sz="1"/>
              <w:bottom w:val="single" w:color="2A6B3A" w:sz="1"/>
              <w:right w:val="single" w:color="2A6B3A" w:sz="1"/>
            </w:tcBorders>
            <w:shd w:fill="E8F5EC" w:val="clear"/>
            <w:tcMar>
              <w:top w:type="dxa" w:w="120"/>
              <w:left w:type="dxa" w:w="200"/>
              <w:bottom w:type="dxa" w:w="120"/>
              <w:right w:type="dxa" w:w="200"/>
            </w:tcMar>
          </w:tcPr>
          <w:p>
            <w:r>
              <w:rPr>
                <w:rFonts w:ascii="Arial" w:cs="Arial" w:eastAsia="Arial" w:hAnsi="Arial"/>
                <w:b/>
                <w:bCs/>
                <w:color w:val="2A6B3A"/>
                <w:sz w:val="22"/>
                <w:szCs w:val="22"/>
              </w:rPr>
              <w:t xml:space="preserve">14 shared metrics  </w:t>
            </w:r>
            <w:r>
              <w:rPr>
                <w:rFonts w:ascii="Arial" w:cs="Arial" w:eastAsia="Arial" w:hAnsi="Arial"/>
                <w:color w:val="2A6B3A"/>
                <w:sz w:val="16"/>
                <w:szCs w:val="16"/>
              </w:rPr>
              <w:t xml:space="preserve">Core EEG bands · FAI · HR · Blink rate · Motion · Pratyahara · Dharana · Dhyana · Gunas · MWI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5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In app</w:t>
            </w:r>
          </w:p>
        </w:tc>
        <w:tc>
          <w:tcPr>
            <w:tcW w:type="dxa" w:w="250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In research docs</w:t>
            </w:r>
          </w:p>
        </w:tc>
        <w:tc>
          <w:tcPr>
            <w:tcW w:type="dxa" w:w="2360"/>
            <w:tcBorders>
              <w:top w:val="single" w:color="CCCCCC" w:sz="1"/>
              <w:left w:val="single" w:color="CCCCCC" w:sz="1"/>
              <w:bottom w:val="single" w:color="CCCCCC" w:sz="1"/>
              <w:right w:val="single" w:color="CCCCCC" w:sz="1"/>
            </w:tcBorders>
            <w:shd w:fill="2A6B3A" w:val="clear"/>
            <w:tcMar>
              <w:top w:type="dxa" w:w="80"/>
              <w:left w:type="dxa" w:w="110"/>
              <w:bottom w:type="dxa" w:w="80"/>
              <w:right w:type="dxa" w:w="110"/>
            </w:tcMar>
            <w:vAlign w:val="center"/>
          </w:tcPr>
          <w:p>
            <w:r>
              <w:rPr>
                <w:rFonts w:ascii="Arial" w:cs="Arial" w:eastAsia="Arial" w:hAnsi="Arial"/>
                <w:b/>
                <w:bCs/>
                <w:color w:val="FFFFFF"/>
                <w:sz w:val="15"/>
                <w:szCs w:val="15"/>
              </w:rPr>
              <w:t xml:space="preserve">Alignment notes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Alpha power</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Global band average</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Global band average — identical formula, identical interpretation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Universal signal — exact match</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Theta power</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Frontal midline θ</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Global 4-channel average — same signal</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Dharana/Dhyana marker in both</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Delta power</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Deep rest / Yoga Nidra</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Global average — same extraction</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Same 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Beta power</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Active mind / Rajas</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Global average; docs also use beta suppression</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Same purpose</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Gamma power</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Advanced absorption</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Global average; docs also use 60-110Hz range specifically</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add Shoonya-specific frontal gamma</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Frontal Alpha Asymmetry</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AF7 vs AF8 comparison</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1−|AF8−AF7|/(|AF8|+|AF7|) in app; ln(AF8)−ln(AF7) in docs</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symmetry index vs docs asymmetry index; inverse but equivalent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Heart rate avg/min/max</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PPG-derived BPM</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Both use HR from Mind Monitor CSV; same columns</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Identical</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Blink rate (blinks/min)</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Pratyahara marker</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Both count /muse/elements/blink events; identical formula</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Exact match across all documents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Body stillness / motion</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Physical immobility</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gyro magnitude; docs: IMU stillness%</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Different formula; same physical intent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Pratyahara score</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Sensory withdrawal</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4-component composite; docs: 5-component (adds SpO₂)</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Closely aligned — app lacks SpO₂</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Dharana score</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Effortful focus</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Ekāgra × effort gate; docs: DDS v2 (P300, N200, PAC, IHC, fNIRS)</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approximates with available data</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Dhyana score</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Effortless flow</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effort-gated Ekāgra; docs: DCI (adds fNIRS, MWI)</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Same concept; docs need more sensors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Sattva / Rajas / Tamas</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Three Gunas</w:t>
            </w:r>
          </w:p>
        </w:tc>
        <w:tc>
          <w:tcPr>
            <w:tcW w:type="dxa" w:w="2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Both compute all three from EEG+motion+HR</w:t>
            </w:r>
          </w:p>
        </w:tc>
        <w:tc>
          <w:tcPr>
            <w:tcW w:type="dxa" w:w="23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Very similar; docs add fNIRS HbO</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Mind-wandering index</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Vritti activity</w:t>
            </w:r>
          </w:p>
        </w:tc>
        <w:tc>
          <w:tcPr>
            <w:tcW w:type="dxa" w:w="2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Kṣipta state ≈ MWI concept; different formula</w:t>
            </w:r>
          </w:p>
        </w:tc>
        <w:tc>
          <w:tcPr>
            <w:tcW w:type="dxa" w:w="23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App's Kṣipta is functionally equivalent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B3A" w:sz="1"/>
              <w:left w:val="single" w:color="2A6B3A" w:sz="1"/>
              <w:bottom w:val="single" w:color="2A6B3A" w:sz="1"/>
              <w:right w:val="single" w:color="2A6B3A" w:sz="1"/>
            </w:tcBorders>
            <w:shd w:fill="E8F5EC" w:val="clear"/>
            <w:tcMar>
              <w:top w:type="dxa" w:w="120"/>
              <w:left w:type="dxa" w:w="200"/>
              <w:bottom w:type="dxa" w:w="120"/>
              <w:right w:type="dxa" w:w="200"/>
            </w:tcMar>
          </w:tcPr>
          <w:p>
            <w:pPr>
              <w:spacing w:after="60"/>
            </w:pPr>
            <w:r>
              <w:rPr>
                <w:rFonts w:ascii="Arial" w:cs="Arial" w:eastAsia="Arial" w:hAnsi="Arial"/>
                <w:b/>
                <w:bCs/>
                <w:color w:val="2A6B3A"/>
                <w:sz w:val="18"/>
                <w:szCs w:val="18"/>
              </w:rPr>
              <w:t xml:space="preserve">Alignment summary</w:t>
            </w:r>
          </w:p>
          <w:p>
            <w:r>
              <w:rPr>
                <w:rFonts w:ascii="Arial" w:cs="Arial" w:eastAsia="Arial" w:hAnsi="Arial"/>
                <w:color w:val="1A1A1A"/>
                <w:sz w:val="18"/>
                <w:szCs w:val="18"/>
              </w:rPr>
              <w:t xml:space="preserve">Key insight: The research documents and InwardJourney app share the same philosophical framework and the same core Muse S sensor signals. Where they differ most is in the computational depth: the app works entirely within Mind Monitor CSV band averages, while the research documents assume access to raw EEG time series, fNIRS output, and beat-to-beat R-R intervals. The shared 14 metrics represent the maximum achievable overlap given the CSV data format.</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3. Different Implementation — Same Concept, Different Method</w:t>
      </w:r>
    </w:p>
    <w:p>
      <w:pPr>
        <w:spacing w:after="150"/>
      </w:pPr>
      <w:r>
        <w:rPr>
          <w:rFonts w:ascii="Arial" w:cs="Arial" w:eastAsia="Arial" w:hAnsi="Arial"/>
          <w:color w:val="1A1A1A"/>
          <w:sz w:val="19"/>
          <w:szCs w:val="19"/>
        </w:rPr>
        <w:t xml:space="preserve">These 10 metrics target the same philosophical or physiological construct in both the app and the research documents, but the two systems compute them with materially different formulas or from different data sources. Understanding these differences is critical for anyone comparing app output with published research benchmarks.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A" w:sz="1"/>
              <w:left w:val="single" w:color="7D5A0A" w:sz="1"/>
              <w:bottom w:val="single" w:color="7D5A0A" w:sz="1"/>
              <w:right w:val="single" w:color="7D5A0A" w:sz="1"/>
            </w:tcBorders>
            <w:shd w:fill="FEF6E4" w:val="clear"/>
            <w:tcMar>
              <w:top w:type="dxa" w:w="120"/>
              <w:left w:type="dxa" w:w="200"/>
              <w:bottom w:type="dxa" w:w="120"/>
              <w:right w:type="dxa" w:w="200"/>
            </w:tcMar>
          </w:tcPr>
          <w:p>
            <w:r>
              <w:rPr>
                <w:rFonts w:ascii="Arial" w:cs="Arial" w:eastAsia="Arial" w:hAnsi="Arial"/>
                <w:b/>
                <w:bCs/>
                <w:color w:val="7D5A0A"/>
                <w:sz w:val="22"/>
                <w:szCs w:val="22"/>
              </w:rPr>
              <w:t xml:space="preserve">10 differently-implemented metrics  </w:t>
            </w:r>
            <w:r>
              <w:rPr>
                <w:rFonts w:ascii="Arial" w:cs="Arial" w:eastAsia="Arial" w:hAnsi="Arial"/>
                <w:color w:val="7D5A0A"/>
                <w:sz w:val="16"/>
                <w:szCs w:val="16"/>
              </w:rPr>
              <w:t xml:space="preserve">HRV · MDS · Effort · Ekāgra · Buddhi · Guna classifier · Savitarka · Spanda · Upayas · Alpha%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7D5A0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000"/>
            <w:tcBorders>
              <w:top w:val="single" w:color="CCCCCC" w:sz="1"/>
              <w:left w:val="single" w:color="CCCCCC" w:sz="1"/>
              <w:bottom w:val="single" w:color="CCCCCC" w:sz="1"/>
              <w:right w:val="single" w:color="CCCCCC" w:sz="1"/>
            </w:tcBorders>
            <w:shd w:fill="7D5A0A" w:val="clear"/>
            <w:tcMar>
              <w:top w:type="dxa" w:w="80"/>
              <w:left w:type="dxa" w:w="110"/>
              <w:bottom w:type="dxa" w:w="80"/>
              <w:right w:type="dxa" w:w="110"/>
            </w:tcMar>
            <w:vAlign w:val="center"/>
          </w:tcPr>
          <w:p>
            <w:r>
              <w:rPr>
                <w:rFonts w:ascii="Arial" w:cs="Arial" w:eastAsia="Arial" w:hAnsi="Arial"/>
                <w:b/>
                <w:bCs/>
                <w:color w:val="FFFFFF"/>
                <w:sz w:val="15"/>
                <w:szCs w:val="15"/>
              </w:rPr>
              <w:t xml:space="preserve">App formula / method</w:t>
            </w:r>
          </w:p>
        </w:tc>
        <w:tc>
          <w:tcPr>
            <w:tcW w:type="dxa" w:w="2000"/>
            <w:tcBorders>
              <w:top w:val="single" w:color="CCCCCC" w:sz="1"/>
              <w:left w:val="single" w:color="CCCCCC" w:sz="1"/>
              <w:bottom w:val="single" w:color="CCCCCC" w:sz="1"/>
              <w:right w:val="single" w:color="CCCCCC" w:sz="1"/>
            </w:tcBorders>
            <w:shd w:fill="7D5A0A"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doc formula / method</w:t>
            </w:r>
          </w:p>
        </w:tc>
        <w:tc>
          <w:tcPr>
            <w:tcW w:type="dxa" w:w="3560"/>
            <w:tcBorders>
              <w:top w:val="single" w:color="CCCCCC" w:sz="1"/>
              <w:left w:val="single" w:color="CCCCCC" w:sz="1"/>
              <w:bottom w:val="single" w:color="CCCCCC" w:sz="1"/>
              <w:right w:val="single" w:color="CCCCCC" w:sz="1"/>
            </w:tcBorders>
            <w:shd w:fill="7D5A0A" w:val="clear"/>
            <w:tcMar>
              <w:top w:type="dxa" w:w="80"/>
              <w:left w:type="dxa" w:w="110"/>
              <w:bottom w:type="dxa" w:w="80"/>
              <w:right w:type="dxa" w:w="110"/>
            </w:tcMar>
            <w:vAlign w:val="center"/>
          </w:tcPr>
          <w:p>
            <w:r>
              <w:rPr>
                <w:rFonts w:ascii="Arial" w:cs="Arial" w:eastAsia="Arial" w:hAnsi="Arial"/>
                <w:b/>
                <w:bCs/>
                <w:color w:val="FFFFFF"/>
                <w:sz w:val="15"/>
                <w:szCs w:val="15"/>
              </w:rPr>
              <w:t xml:space="preserve">Why they differ</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HRV</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std(HR) per segment — crude proxy</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RMSSD, SDNN, pNN50, RSA via R-R intervals — gold standard</w:t>
            </w:r>
          </w:p>
        </w:tc>
        <w:tc>
          <w:tcPr>
            <w:tcW w:type="dxa" w:w="3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Mind Monitor exports BPM, not beat-to-beat R-R; std(HR) is the only feasible proxy without raw PPG</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Meditation Depth</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MDS (7-component, α-heavy single score)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tradition-specific (SDI for Buddhism, KQS for Jainism, UPDS universal)</w:t>
            </w:r>
          </w:p>
        </w:tc>
        <w:tc>
          <w:tcPr>
            <w:tcW w:type="dxa" w:w="3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consolidates into one; docs disaggregate by tradition and required practice type</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Effort index</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(HR − baseline) / baseline — cardiac effort</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no single effort metric; Dharana/Dhyana differentiated via EEG alone</w:t>
            </w:r>
          </w:p>
        </w:tc>
        <w:tc>
          <w:tcPr>
            <w:tcW w:type="dxa" w:w="3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App's HR-elevation method is creative but HR can spike for non-meditation reasons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Ekāgra / Focus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binary condition checks on 5 EEG/motion signals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Dharana Depth Score v2 = P300 latency + N200 + PAC + IHC + fNIRS onset</w:t>
            </w:r>
          </w:p>
        </w:tc>
        <w:tc>
          <w:tcPr>
            <w:tcW w:type="dxa" w:w="3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require active stimulus presentation for ERPs; app works passively</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Buddhi score</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α×2 + |min(β,0)| — α coherence + β suppression</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PAF (peak alpha frequency) + P300 latency — cognitive sharpness</w:t>
            </w:r>
          </w:p>
        </w:tc>
        <w:tc>
          <w:tcPr>
            <w:tcW w:type="dxa" w:w="3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uses relative power; docs use spectral peak frequency and ERP latency</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Spanda index</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CV(α) × θ — pulsation of alpha with theta</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normalized 60-110Hz gamma power correlated with meditation hours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Completely different signals. App: temporal variability. Docs: high-frequency amplitude.</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Guna classifier</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three continuous scores; dominant determined by max</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adds fNIRS HbO to Sattva + aperiodic 1/f exponent</w:t>
            </w:r>
          </w:p>
        </w:tc>
        <w:tc>
          <w:tcPr>
            <w:tcW w:type="dxa" w:w="3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is EEG+motion only; docs add hemodynamics and spectral complexity</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Savitarka / Samadhi</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θ≥0.8α + δ&lt;θ + β suppressed + HR drop</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Samadhi Proximity Index requires LZ complexity + NVC + gamma burst + ACW</w:t>
            </w:r>
          </w:p>
        </w:tc>
        <w:tc>
          <w:tcPr>
            <w:tcW w:type="dxa" w:w="3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is accessible; docs require raw EEG processing beyond band averages</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Upayas classifier</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rule-based from effort/Ekāgra/Dhyāna/motion</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Docs: adds ACW non-duality index + Shoonya gamma ratio</w:t>
            </w:r>
          </w:p>
        </w:tc>
        <w:tc>
          <w:tcPr>
            <w:tcW w:type="dxa" w:w="3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upayas mapping works well for Āṇava/Śākta; docs add Śāmbhava via ACW</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 relative power</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α/total % explicitly computed as KPI</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relative dominance referenced qualitatively; not a named standalone KPI</w:t>
            </w:r>
          </w:p>
        </w:tc>
        <w:tc>
          <w:tcPr>
            <w:tcW w:type="dxa" w:w="3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formalises this usefully; docs treat it as embedded in composite formulas</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3.1 The most important divergence: HRV</w:t>
      </w:r>
    </w:p>
    <w:p>
      <w:pPr>
        <w:spacing w:after="150"/>
      </w:pPr>
      <w:r>
        <w:rPr>
          <w:rFonts w:ascii="Arial" w:cs="Arial" w:eastAsia="Arial" w:hAnsi="Arial"/>
          <w:color w:val="1A1A1A"/>
          <w:sz w:val="19"/>
          <w:szCs w:val="19"/>
        </w:rPr>
        <w:t xml:space="preserve">The single most consequential difference between the app and the research documents is HRV. The app uses std(HR) — the standard deviation of the heart rate BPM values exported by Mind Monitor — as a rough cardiac variability proxy. The research documents specify RMSSD, SDNN, pNN50, RSA, and heart coherence, all computed from beat-to-beat R-R intervals. These are not equivalent: std(BPM) is insensitive to the rapid beat-to-beat variations that make HRV clinically meaningful. A practitioner could have high RMSSD (strong vagal tone) and near-zero std(BPM) if their breathing is very regular. The app should clearly disclose that its HR variability estimate is a proxy and not true HRV.</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10"/>
              <w:left w:type="dxa" w:w="180"/>
              <w:bottom w:type="dxa" w:w="110"/>
              <w:right w:type="dxa" w:w="180"/>
            </w:tcMar>
          </w:tcPr>
          <w:p>
            <w:pPr>
              <w:spacing w:after="70"/>
            </w:pPr>
            <w:r>
              <w:rPr>
                <w:rFonts w:ascii="Courier New" w:cs="Courier New" w:eastAsia="Courier New" w:hAnsi="Courier New"/>
                <w:b/>
                <w:bCs/>
                <w:color w:val="4A2580"/>
                <w:sz w:val="17"/>
                <w:szCs w:val="17"/>
              </w:rPr>
              <w:t xml:space="preserve">App's current HRV proxy</w:t>
            </w:r>
          </w:p>
          <w:p>
            <w:pPr>
              <w:spacing w:after="50"/>
            </w:pPr>
            <w:r>
              <w:rPr>
                <w:rFonts w:ascii="Courier New" w:cs="Courier New" w:eastAsia="Courier New" w:hAnsi="Courier New"/>
                <w:color w:val="1A1A1A"/>
                <w:sz w:val="16"/>
                <w:szCs w:val="16"/>
              </w:rPr>
              <w:t xml:space="preserve">hr_std = std(HR_values_in_segment)</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Limitation: Mind Monitor exports smoothed BPM, not R-R intervals.</w:t>
            </w:r>
          </w:p>
          <w:p>
            <w:pPr>
              <w:spacing w:after="50"/>
            </w:pPr>
            <w:r>
              <w:rPr>
                <w:rFonts w:ascii="Courier New" w:cs="Courier New" w:eastAsia="Courier New" w:hAnsi="Courier New"/>
                <w:color w:val="1A1A1A"/>
                <w:sz w:val="16"/>
                <w:szCs w:val="16"/>
              </w:rPr>
              <w:t xml:space="preserve">std(BPM) captures slower HR trends, not beat-to-beat vagal activity.</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True RMSSD requires: RR[i] = time_between_consecutive_peaks (in ms)</w:t>
            </w:r>
          </w:p>
          <w:p>
            <w:pPr>
              <w:spacing w:after="50"/>
            </w:pPr>
            <w:r>
              <w:rPr>
                <w:rFonts w:ascii="Courier New" w:cs="Courier New" w:eastAsia="Courier New" w:hAnsi="Courier New"/>
                <w:color w:val="1A1A1A"/>
                <w:sz w:val="16"/>
                <w:szCs w:val="16"/>
              </w:rPr>
              <w:t xml:space="preserve">RMSSD = sqrt( mean( (RR[i+1] - RR[i])^2 ) )</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Workaround: Use Mind Monitor's raw OSC stream to capture</w:t>
            </w:r>
          </w:p>
          <w:p>
            <w:pPr>
              <w:spacing w:after="50"/>
            </w:pPr>
            <w:r>
              <w:rPr>
                <w:rFonts w:ascii="Courier New" w:cs="Courier New" w:eastAsia="Courier New" w:hAnsi="Courier New"/>
                <w:color w:val="1A1A1A"/>
                <w:sz w:val="16"/>
                <w:szCs w:val="16"/>
              </w:rPr>
              <w:t xml:space="preserve">individual PPG peaks, then compute R-R intervals directly.</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4. App-Unique Metrics — Not in Research Documents</w:t>
      </w:r>
    </w:p>
    <w:p>
      <w:pPr>
        <w:spacing w:after="150"/>
      </w:pPr>
      <w:r>
        <w:rPr>
          <w:rFonts w:ascii="Arial" w:cs="Arial" w:eastAsia="Arial" w:hAnsi="Arial"/>
          <w:color w:val="1A1A1A"/>
          <w:sz w:val="19"/>
          <w:szCs w:val="19"/>
        </w:rPr>
        <w:t xml:space="preserve">These 13 metrics are original contributions of the InwardJourney app. None appear in the research docx files (Samkhya, Yoga Sutras, Kashmiri Shaivism, Multi-tradition). They represent creative operationalisations of Yogic philosophy that go beyond the standard neuroscience meditation research framework — and several are genuinely valuable additions that the research community could adopt.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222" w:sz="1"/>
              <w:left w:val="single" w:color="8B2222" w:sz="1"/>
              <w:bottom w:val="single" w:color="8B2222" w:sz="1"/>
              <w:right w:val="single" w:color="8B2222" w:sz="1"/>
            </w:tcBorders>
            <w:shd w:fill="FCEAEA" w:val="clear"/>
            <w:tcMar>
              <w:top w:type="dxa" w:w="120"/>
              <w:left w:type="dxa" w:w="200"/>
              <w:bottom w:type="dxa" w:w="120"/>
              <w:right w:type="dxa" w:w="200"/>
            </w:tcMar>
          </w:tcPr>
          <w:p>
            <w:r>
              <w:rPr>
                <w:rFonts w:ascii="Arial" w:cs="Arial" w:eastAsia="Arial" w:hAnsi="Arial"/>
                <w:b/>
                <w:bCs/>
                <w:color w:val="8B2222"/>
                <w:sz w:val="22"/>
                <w:szCs w:val="22"/>
              </w:rPr>
              <w:t xml:space="preserve">13 app-unique metrics  </w:t>
            </w:r>
            <w:r>
              <w:rPr>
                <w:rFonts w:ascii="Arial" w:cs="Arial" w:eastAsia="Arial" w:hAnsi="Arial"/>
                <w:color w:val="8B2222"/>
                <w:sz w:val="16"/>
                <w:szCs w:val="16"/>
              </w:rPr>
              <w:t xml:space="preserve">Chitta bhūmis (5) · Antaḥkaraṇa instruments · Kañcukas · Jaw rate · Neg% KPIs · Effort index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8B2222"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000"/>
            <w:tcBorders>
              <w:top w:val="single" w:color="CCCCCC" w:sz="1"/>
              <w:left w:val="single" w:color="CCCCCC" w:sz="1"/>
              <w:bottom w:val="single" w:color="CCCCCC" w:sz="1"/>
              <w:right w:val="single" w:color="CCCCCC" w:sz="1"/>
            </w:tcBorders>
            <w:shd w:fill="8B2222" w:val="clear"/>
            <w:tcMar>
              <w:top w:type="dxa" w:w="80"/>
              <w:left w:type="dxa" w:w="110"/>
              <w:bottom w:type="dxa" w:w="80"/>
              <w:right w:type="dxa" w:w="110"/>
            </w:tcMar>
            <w:vAlign w:val="center"/>
          </w:tcPr>
          <w:p>
            <w:r>
              <w:rPr>
                <w:rFonts w:ascii="Arial" w:cs="Arial" w:eastAsia="Arial" w:hAnsi="Arial"/>
                <w:b/>
                <w:bCs/>
                <w:color w:val="FFFFFF"/>
                <w:sz w:val="15"/>
                <w:szCs w:val="15"/>
              </w:rPr>
              <w:t xml:space="preserve">Computation</w:t>
            </w:r>
          </w:p>
        </w:tc>
        <w:tc>
          <w:tcPr>
            <w:tcW w:type="dxa" w:w="2800"/>
            <w:tcBorders>
              <w:top w:val="single" w:color="CCCCCC" w:sz="1"/>
              <w:left w:val="single" w:color="CCCCCC" w:sz="1"/>
              <w:bottom w:val="single" w:color="CCCCCC" w:sz="1"/>
              <w:right w:val="single" w:color="CCCCCC" w:sz="1"/>
            </w:tcBorders>
            <w:shd w:fill="8B2222" w:val="clear"/>
            <w:tcMar>
              <w:top w:type="dxa" w:w="80"/>
              <w:left w:type="dxa" w:w="110"/>
              <w:bottom w:type="dxa" w:w="80"/>
              <w:right w:type="dxa" w:w="110"/>
            </w:tcMar>
            <w:vAlign w:val="center"/>
          </w:tcPr>
          <w:p>
            <w:r>
              <w:rPr>
                <w:rFonts w:ascii="Arial" w:cs="Arial" w:eastAsia="Arial" w:hAnsi="Arial"/>
                <w:b/>
                <w:bCs/>
                <w:color w:val="FFFFFF"/>
                <w:sz w:val="15"/>
                <w:szCs w:val="15"/>
              </w:rPr>
              <w:t xml:space="preserve">Philosophical basis</w:t>
            </w:r>
          </w:p>
        </w:tc>
        <w:tc>
          <w:tcPr>
            <w:tcW w:type="dxa" w:w="2560"/>
            <w:tcBorders>
              <w:top w:val="single" w:color="CCCCCC" w:sz="1"/>
              <w:left w:val="single" w:color="CCCCCC" w:sz="1"/>
              <w:bottom w:val="single" w:color="CCCCCC" w:sz="1"/>
              <w:right w:val="single" w:color="CCCCCC" w:sz="1"/>
            </w:tcBorders>
            <w:shd w:fill="8B2222"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value</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Chitta Bhūmi state system</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5-state categorical classifier (Kṣipta/Mūḍha/Vikṣipta/Ekāgra/Niruddha)</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From Vyāsa's Yoga Bhāṣya on YS 1.1 — practical 5-fold mind-state taxonomy</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Not in any docx; high practical value for yogic self-monitoring</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Dominant chitta label</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Per-segment categorical state label</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Which of the 5 bhūmis is highest scored; drives colour-coded session table</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Provides intuitive session narrative not found in research metrics</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Mūḍha score</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δ dominance + θ&gt;α + still body + low HR composite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Dull/inert state — often missed in meditation research; distinct from sleep</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No docx equivalent; valuable for detecting dull sittings vs focused ones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Vikṣipta score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CV(α) instability + inversion of Kṣipta + Ekāgra</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Oscillating — occasional flashes of clarity amid general scatteredness</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Philosophically important transitional state; unique to app</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Niruddha score</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θ≥α + δ minimal + near-zero motion + HR sigmoid</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Mastered/restrained mind — the goal state beyond Ekāgra</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Distinct from Dhyāna; maps to YS 1.51; not computed in docx files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Ahaṃkāra score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β×3 + (1 − beta_neg_pct/100)</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Ego-sense as a scored metric — elevated beta = active self-referencing</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Docs mention Ahaṃkāra conceptually only; app operationalises it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Manas score</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blink_rate/20 + (1 − gamma_neg_pct/100)</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Sensory mind activity — blinks proxy for sense-organ engagement; gamma for processing</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Unique signal combination; no docx equivalent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Prakṛti quieting</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1 − Ahaṃkāra×0.4 − Manas×0.3 − β×0.3</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Overall mind-field stillness — clarity of Puruṣa's reflection in Buddhi</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Novel composite; philosophically precise; not in research literature</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Five kañcukas</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Kalā→β, Vidyā→γ, Rāga→HR range, Kāla→α, Niyati→FAI</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Kashmir Śaivism's 5 limitation-coverings each mapped to a measurable signal</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Completely original mapping; no neuroscience paper has done this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Jaw-clench rate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/muse/elements/jaw_clench events per minute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Tension/concentration effort indicator; secondary Pratyahara input</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Not mentioned in any docx; a useful stress/effort marker</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Beta negative %</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 of rows in full session where β &lt; 0</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Beta suppression depth across whole session — not just per-segment</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Docx discusses beta suppression qualitatively; app makes it a session KPI</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Gamma negative %</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 of rows in full session where γ &lt; 0</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Gamma cognitive-processing minimization across session</w:t>
            </w:r>
          </w:p>
        </w:tc>
        <w:tc>
          <w:tcPr>
            <w:tcW w:type="dxa" w:w="25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Session-level gamma suppression; unique quantification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HR-elevation effort index</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(HR_current − HR_baseline) / HR_baseline; baseline = first segment</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Uses HR deviation as the Dhāraṇā↔Dhyāna gate</w:t>
            </w:r>
          </w:p>
        </w:tc>
        <w:tc>
          <w:tcPr>
            <w:tcW w:type="dxa" w:w="25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Creative use of available data; docs do not use this separation mechanism</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4.1 Most valuable unique contributions</w:t>
      </w:r>
    </w:p>
    <w:p>
      <w:pPr>
        <w:spacing w:after="150"/>
      </w:pPr>
      <w:r>
        <w:rPr>
          <w:rFonts w:ascii="Arial" w:cs="Arial" w:eastAsia="Arial" w:hAnsi="Arial"/>
          <w:color w:val="1A1A1A"/>
          <w:sz w:val="19"/>
          <w:szCs w:val="19"/>
        </w:rPr>
        <w:t xml:space="preserve">Three of the app's unique metrics stand out as particularly valuable and novel: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222" w:sz="1"/>
              <w:left w:val="single" w:color="8B2222" w:sz="1"/>
              <w:bottom w:val="single" w:color="8B2222" w:sz="1"/>
              <w:right w:val="single" w:color="8B2222" w:sz="1"/>
            </w:tcBorders>
            <w:shd w:fill="FCEAEA" w:val="clear"/>
            <w:tcMar>
              <w:top w:type="dxa" w:w="120"/>
              <w:left w:type="dxa" w:w="200"/>
              <w:bottom w:type="dxa" w:w="120"/>
              <w:right w:type="dxa" w:w="200"/>
            </w:tcMar>
          </w:tcPr>
          <w:p>
            <w:pPr>
              <w:spacing w:after="60"/>
            </w:pPr>
            <w:r>
              <w:rPr>
                <w:rFonts w:ascii="Arial" w:cs="Arial" w:eastAsia="Arial" w:hAnsi="Arial"/>
                <w:b/>
                <w:bCs/>
                <w:color w:val="8B2222"/>
                <w:sz w:val="18"/>
                <w:szCs w:val="18"/>
              </w:rPr>
              <w:t xml:space="preserve">Chitta bhūmi classifier</w:t>
            </w:r>
          </w:p>
          <w:p>
            <w:r>
              <w:rPr>
                <w:rFonts w:ascii="Arial" w:cs="Arial" w:eastAsia="Arial" w:hAnsi="Arial"/>
                <w:color w:val="1A1A1A"/>
                <w:sz w:val="18"/>
                <w:szCs w:val="18"/>
              </w:rPr>
              <w:t xml:space="preserve">1. The five Chitta Bhūmi classifier — translating Vyāsa's Yoga Bhāṣya (YS 1.1 commentary) into a scored 5-state system (Kṣipta/Mūḍha/Vikṣipta/Ekāgra/Niruddha) is genuinely original. Published EEG meditation research rarely distinguishes Mūḍha (dull) from Kṣipta (scattered), even though these are very different practice problems with different solutions. The app's approach fills a real gap.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222" w:sz="1"/>
              <w:left w:val="single" w:color="8B2222" w:sz="1"/>
              <w:bottom w:val="single" w:color="8B2222" w:sz="1"/>
              <w:right w:val="single" w:color="8B2222" w:sz="1"/>
            </w:tcBorders>
            <w:shd w:fill="FCEAEA" w:val="clear"/>
            <w:tcMar>
              <w:top w:type="dxa" w:w="120"/>
              <w:left w:type="dxa" w:w="200"/>
              <w:bottom w:type="dxa" w:w="120"/>
              <w:right w:type="dxa" w:w="200"/>
            </w:tcMar>
          </w:tcPr>
          <w:p>
            <w:pPr>
              <w:spacing w:after="60"/>
            </w:pPr>
            <w:r>
              <w:rPr>
                <w:rFonts w:ascii="Arial" w:cs="Arial" w:eastAsia="Arial" w:hAnsi="Arial"/>
                <w:b/>
                <w:bCs/>
                <w:color w:val="8B2222"/>
                <w:sz w:val="18"/>
                <w:szCs w:val="18"/>
              </w:rPr>
              <w:t xml:space="preserve">Five kañcukas mapping</w:t>
            </w:r>
          </w:p>
          <w:p>
            <w:r>
              <w:rPr>
                <w:rFonts w:ascii="Arial" w:cs="Arial" w:eastAsia="Arial" w:hAnsi="Arial"/>
                <w:color w:val="1A1A1A"/>
                <w:sz w:val="18"/>
                <w:szCs w:val="18"/>
              </w:rPr>
              <w:t xml:space="preserve">2. The five Kañcuka mappings from Kashmir Śaivism — assigning Kalā→β, Vidyā→γ, Rāga→HR range, Kāla→α, Niyati→FAI — is philosophically sophisticated and experimentally testable. No published neuroscience paper has attempted this mapping. It provides a Kashmir Śaivism framework for real-time EEG interpretation that is unique in the literature.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222" w:sz="1"/>
              <w:left w:val="single" w:color="8B2222" w:sz="1"/>
              <w:bottom w:val="single" w:color="8B2222" w:sz="1"/>
              <w:right w:val="single" w:color="8B2222" w:sz="1"/>
            </w:tcBorders>
            <w:shd w:fill="FCEAEA" w:val="clear"/>
            <w:tcMar>
              <w:top w:type="dxa" w:w="120"/>
              <w:left w:type="dxa" w:w="200"/>
              <w:bottom w:type="dxa" w:w="120"/>
              <w:right w:type="dxa" w:w="200"/>
            </w:tcMar>
          </w:tcPr>
          <w:p>
            <w:pPr>
              <w:spacing w:after="60"/>
            </w:pPr>
            <w:r>
              <w:rPr>
                <w:rFonts w:ascii="Arial" w:cs="Arial" w:eastAsia="Arial" w:hAnsi="Arial"/>
                <w:b/>
                <w:bCs/>
                <w:color w:val="8B2222"/>
                <w:sz w:val="18"/>
                <w:szCs w:val="18"/>
              </w:rPr>
              <w:t xml:space="preserve">Effort index as limb gate</w:t>
            </w:r>
          </w:p>
          <w:p>
            <w:r>
              <w:rPr>
                <w:rFonts w:ascii="Arial" w:cs="Arial" w:eastAsia="Arial" w:hAnsi="Arial"/>
                <w:color w:val="1A1A1A"/>
                <w:sz w:val="18"/>
                <w:szCs w:val="18"/>
              </w:rPr>
              <w:t xml:space="preserve">3. The effort index as Dhāraṇā/Dhyāna separator — using HR elevation from baseline to gate whether high Ekāgra counts as Dhāraṇā (effortful) or Dhyāna (effortless) is pragmatically clever. It solves a real problem: EEG cannot easily distinguish effort from non-effort in focused states. The HR proxy is imperfect but far better than nothing, given the available data.</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5. Research-Only Metrics — Missing from the App</w:t>
      </w:r>
    </w:p>
    <w:p>
      <w:pPr>
        <w:spacing w:after="150"/>
      </w:pPr>
      <w:r>
        <w:rPr>
          <w:rFonts w:ascii="Arial" w:cs="Arial" w:eastAsia="Arial" w:hAnsi="Arial"/>
          <w:color w:val="1A1A1A"/>
          <w:sz w:val="19"/>
          <w:szCs w:val="19"/>
        </w:rPr>
        <w:t xml:space="preserve">These 22 metrics appear in the research documents but cannot be computed from a standard Mind Monitor CSV export. They require either: raw EEG time series (not band averages), Muse S Athena fNIRS sensor output, beat-to-beat R-R intervals from raw PPG, or event-marker synchronization with a stimulus presentation system. They are organized by the data source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1"/>
              <w:left w:val="single" w:color="1A4A8A" w:sz="1"/>
              <w:bottom w:val="single" w:color="1A4A8A" w:sz="1"/>
              <w:right w:val="single" w:color="1A4A8A" w:sz="1"/>
            </w:tcBorders>
            <w:shd w:fill="E6EFF9" w:val="clear"/>
            <w:tcMar>
              <w:top w:type="dxa" w:w="120"/>
              <w:left w:type="dxa" w:w="200"/>
              <w:bottom w:type="dxa" w:w="120"/>
              <w:right w:type="dxa" w:w="200"/>
            </w:tcMar>
          </w:tcPr>
          <w:p>
            <w:r>
              <w:rPr>
                <w:rFonts w:ascii="Arial" w:cs="Arial" w:eastAsia="Arial" w:hAnsi="Arial"/>
                <w:b/>
                <w:bCs/>
                <w:color w:val="1A4A8A"/>
                <w:sz w:val="22"/>
                <w:szCs w:val="22"/>
              </w:rPr>
              <w:t xml:space="preserve">22 research-only metrics  </w:t>
            </w:r>
            <w:r>
              <w:rPr>
                <w:rFonts w:ascii="Arial" w:cs="Arial" w:eastAsia="Arial" w:hAnsi="Arial"/>
                <w:color w:val="1A4A8A"/>
                <w:sz w:val="16"/>
                <w:szCs w:val="16"/>
              </w:rPr>
              <w:t xml:space="preserve">fNIRS · True HRV · Raw EEG (PSD/ERPs/PAC/ACW) · Respiratory · Longitudinal · Cessation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18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8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Why it requires more data</w:t>
            </w:r>
          </w:p>
        </w:tc>
        <w:tc>
          <w:tcPr>
            <w:tcW w:type="dxa" w:w="276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Data source needed</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RMSSD</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True parasympathetic HRV</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Requires R-R beat-to-beat intervals from raw PPG</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Mind Monitor exports smoothed BPM only; unavailable without raw data stream</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SDNN</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Overall ANS adaptability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std(RR_intervals) in ms</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Same limitation as RMSSD; needs raw PPG</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pNN50</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Vagal dominance metric</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 RR differences &gt;50ms</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Same raw PPG requirement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RSA</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Vagal nerve coupling</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max(RR) − min(RR) per breath cycle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Also requires IMU respiratory signal synchronization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Heart coherence</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0.1Hz HRV resonance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Peak power at 0.1Hz / total HRV power</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Frequency-domain computation on R-R series; not feasible from BPM values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HF power</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High-frequency HRV band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Integral of RR PSD, 0.15–0.4Hz</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Same R-R requirement</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HbO / HbR</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PFC oxygenation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fNIRS Modified Beer-Lambert</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Muse S Athena sensor; not in Mind Monitor CSV</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Neurovascular coupling</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EEG × fNIRS integration</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cross_correlation(EEG_alpha, ΔHbO)</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simultaneous EEG + fNIRS streaming</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PFC asymmetry (fNIRS)</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Left/right PFC blood flow</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(HbO_left−HbO_right)/(HbO_left+HbO_right)</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fNIRS hardware required</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Aperiodic 1/f exponent</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E:I brain balance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FOOOF on full PSD curve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 Monitor exports band averages, not full PSD; needs raw EEG stream</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ACW / Non-duality index</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Intrinsic neural timescales</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ACW-50: lag where autocorrelation falls to 50%</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Requires raw EEG time-series + visual oddball task; not derivable from CSV</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P300 ERP latency</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Perceptual processing speed</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Peak positive amplitude ~400ms post-stimulus</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event-marker synchronization with oddball stimuli</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N200 ERP amplitude</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Cognitive control quality</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Peak negative amplitude ~270ms post-stimulus</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Same requirement as P300</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Phase-amplitude coupling</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Theta-gamma cross-frequency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KL-divergence of amplitude distribution across theta phase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raw EEG; band averages insufficient spectral resolution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Peak Alpha Frequency (PAF)</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Cognitive sharpness / brain age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Frequency of alpha peak in full PSD</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Requires full PSD; not from band average alone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Interhemispheric coherence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TP9 ↔ TP10 synchrony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|Pearson(TP9_alpha_envelope, TP10_alpha_envelope)|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per-channel alpha envelope computation from raw EEG</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SpO₂ / blood oxygen</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Pranayama oxygenation</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fNIRS red/NIR ratio</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Muse S Athena hardware; not in CSV</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Respiratory rate (IMU)</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Breath frequency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Bandpass(accel, 0.1-0.5Hz) peak detection</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 Monitor does not export raw accelerometer as a breathing signal</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LZ Complexity</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Neural entropy / jhana marker</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LZ76 algorithm on binarized EEG</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Requires raw EEG time series; band averages lose temporal structure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DMN suppression proxy</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Self-referencing network</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(baseline_TP_alpha − session_TP_alpha)/baseline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App lacks a proper resting eyes-open baseline condition</w:t>
            </w:r>
          </w:p>
        </w:tc>
      </w:tr>
      <w:tr>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30-day longitudinal tracking</w:t>
            </w:r>
          </w:p>
        </w:tc>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Progress over time</w:t>
            </w:r>
          </w:p>
        </w:tc>
        <w:tc>
          <w:tcPr>
            <w:tcW w:type="dxa" w:w="2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Rolling weekly medians of all KPIs</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App has no session memory; processes one session at a time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Cessation proximity profile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Pre-cessation alpha slope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Linear slope of alpha_40s before event + gamma sync</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40-second pre-event detection algorithm</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5.1 The data-source hierarchy</w:t>
      </w:r>
    </w:p>
    <w:p>
      <w:pPr>
        <w:spacing w:after="150"/>
      </w:pPr>
      <w:r>
        <w:rPr>
          <w:rFonts w:ascii="Arial" w:cs="Arial" w:eastAsia="Arial" w:hAnsi="Arial"/>
          <w:color w:val="1A1A1A"/>
          <w:sz w:val="19"/>
          <w:szCs w:val="19"/>
        </w:rPr>
        <w:t xml:space="preserve">The 22 missing metrics divide cleanly by what additional data source they need: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Data source</w:t>
            </w:r>
          </w:p>
        </w:tc>
        <w:tc>
          <w:tcPr>
            <w:tcW w:type="dxa" w:w="200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Metrics unlocked</w:t>
            </w:r>
          </w:p>
        </w:tc>
        <w:tc>
          <w:tcPr>
            <w:tcW w:type="dxa" w:w="5160"/>
            <w:tcBorders>
              <w:top w:val="single" w:color="CCCCCC" w:sz="1"/>
              <w:left w:val="single" w:color="CCCCCC" w:sz="1"/>
              <w:bottom w:val="single" w:color="CCCCCC" w:sz="1"/>
              <w:right w:val="single" w:color="CCCCCC" w:sz="1"/>
            </w:tcBorders>
            <w:shd w:fill="1A4A8A" w:val="clear"/>
            <w:tcMar>
              <w:top w:type="dxa" w:w="80"/>
              <w:left w:type="dxa" w:w="110"/>
              <w:bottom w:type="dxa" w:w="80"/>
              <w:right w:type="dxa" w:w="110"/>
            </w:tcMar>
            <w:vAlign w:val="center"/>
          </w:tcPr>
          <w:p>
            <w:r>
              <w:rPr>
                <w:rFonts w:ascii="Arial" w:cs="Arial" w:eastAsia="Arial" w:hAnsi="Arial"/>
                <w:b/>
                <w:bCs/>
                <w:color w:val="FFFFFF"/>
                <w:sz w:val="15"/>
                <w:szCs w:val="15"/>
              </w:rPr>
              <w:t xml:space="preserve">How to access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 Monitor OSC raw stream</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Respiratory rate from accelerometer; raw per-sample data enabling entropy/complexity</w:t>
            </w:r>
          </w:p>
        </w:tc>
        <w:tc>
          <w:tcPr>
            <w:tcW w:type="dxa" w:w="51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Connect to Mind Monitor's OSC (Open Sound Control) streaming output on local network. Enables per-sample EEG, accelerometer, gyroscope, and PPG access.</w:t>
            </w:r>
          </w:p>
        </w:tc>
      </w:tr>
      <w:tr>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Mind Monitor raw PPG R-R intervals</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RMSSD, SDNN, pNN50, RSA, heart coherence, LF/HF ratio</w:t>
            </w:r>
          </w:p>
        </w:tc>
        <w:tc>
          <w:tcPr>
            <w:tcW w:type="dxa" w:w="51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Mind Monitor can export a 'Horseshoe' raw PPG signal; R-R detection then applies standard HRV algorithms (Task Force 1996 methodology).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Muse Research API (raw EEG)</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Aperiodic 1/f, PAF, interhemispheric coherence, LZ complexity, PAC, ACW/non-duality index</w:t>
            </w:r>
          </w:p>
        </w:tc>
        <w:tc>
          <w:tcPr>
            <w:tcW w:type="dxa" w:w="51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Requires Muse Research SDK or LibMuse on Android. Delivers 256Hz raw EEG per channel. Enables full FOOOF, connectivity, and complexity analysis.</w:t>
            </w:r>
          </w:p>
        </w:tc>
      </w:tr>
      <w:tr>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Muse S Athena fNIRS stream</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HbO, HbR, NVC, PFC asymmetry, SpO₂, cognitive effort index</w:t>
            </w:r>
          </w:p>
        </w:tc>
        <w:tc>
          <w:tcPr>
            <w:tcW w:type="dxa" w:w="51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Muse S Athena hardware (not standard Muse S); fNIRS output via Research API. Enables neurovascular coupling and hemodynamic analysis.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Event markers + stimulus system</w:t>
            </w:r>
          </w:p>
        </w:tc>
        <w:tc>
          <w:tcPr>
            <w:tcW w:type="dxa" w:w="2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P300, N200 ERPs; cessation detection</w:t>
            </w:r>
          </w:p>
        </w:tc>
        <w:tc>
          <w:tcPr>
            <w:tcW w:type="dxa" w:w="51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Visual oddball paradigm with event markers synchronized to EEG stream. ERPs require averaging across many stimulus-locked epochs.</w:t>
            </w:r>
          </w:p>
        </w:tc>
      </w:tr>
      <w:tr>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Multi-session storage</w:t>
            </w:r>
          </w:p>
        </w:tc>
        <w:tc>
          <w:tcPr>
            <w:tcW w:type="dxa" w:w="2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VRR, 30-day progress, longitudinal baselines</w:t>
            </w:r>
          </w:p>
        </w:tc>
        <w:tc>
          <w:tcPr>
            <w:tcW w:type="dxa" w:w="51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Browser localStorage or server-side storage. No new sensor data needed — just persisting session results across visits.</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6. Recommended Additional Metrics for the App</w:t>
      </w:r>
    </w:p>
    <w:p>
      <w:pPr>
        <w:spacing w:after="150"/>
      </w:pPr>
      <w:r>
        <w:rPr>
          <w:rFonts w:ascii="Arial" w:cs="Arial" w:eastAsia="Arial" w:hAnsi="Arial"/>
          <w:color w:val="1A1A1A"/>
          <w:sz w:val="19"/>
          <w:szCs w:val="19"/>
        </w:rPr>
        <w:t xml:space="preserve">The following 18 metrics are recommended for addition to InwardJourney. They are organized into three tiers based on implementation complexity. Tier 1 metrics can be added immediately using the existing CSV data — no sensor or data collection changes are required. Tiers 2 and 3 require progressively more architectural investment.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5A" w:sz="1"/>
              <w:left w:val="single" w:color="0A5A5A" w:sz="1"/>
              <w:bottom w:val="single" w:color="0A5A5A" w:sz="1"/>
              <w:right w:val="single" w:color="0A5A5A" w:sz="1"/>
            </w:tcBorders>
            <w:shd w:fill="E2F3F3" w:val="clear"/>
            <w:tcMar>
              <w:top w:type="dxa" w:w="120"/>
              <w:left w:type="dxa" w:w="200"/>
              <w:bottom w:type="dxa" w:w="120"/>
              <w:right w:type="dxa" w:w="200"/>
            </w:tcMar>
          </w:tcPr>
          <w:p>
            <w:r>
              <w:rPr>
                <w:rFonts w:ascii="Arial" w:cs="Arial" w:eastAsia="Arial" w:hAnsi="Arial"/>
                <w:b/>
                <w:bCs/>
                <w:color w:val="0A5A5A"/>
                <w:sz w:val="22"/>
                <w:szCs w:val="22"/>
              </w:rPr>
              <w:t xml:space="preserve">18 recommended additions across 3 tiers  </w:t>
            </w:r>
            <w:r>
              <w:rPr>
                <w:rFonts w:ascii="Arial" w:cs="Arial" w:eastAsia="Arial" w:hAnsi="Arial"/>
                <w:color w:val="0A5A5A"/>
                <w:sz w:val="16"/>
                <w:szCs w:val="16"/>
              </w:rPr>
              <w:t xml:space="preserve">Tier 1: CSV-only (10) · Tier 2: existing raw fields (5) · Tier 3: new composites (3)</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6.1 Tier 1 — Immediate additions (CSV data, no new sensors)</w:t>
      </w:r>
    </w:p>
    <w:p>
      <w:pPr>
        <w:spacing w:after="150"/>
      </w:pPr>
      <w:r>
        <w:rPr>
          <w:rFonts w:ascii="Arial" w:cs="Arial" w:eastAsia="Arial" w:hAnsi="Arial"/>
          <w:color w:val="1A1A1A"/>
          <w:sz w:val="19"/>
          <w:szCs w:val="19"/>
        </w:rPr>
        <w:t xml:space="preserve">All 10 of these metrics can be computed from data already parsed in the processCSV() function. They require only new formulas in the segment computation loop and new chart/display elements in the tab renderers.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2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Purpose</w:t>
            </w:r>
          </w:p>
        </w:tc>
        <w:tc>
          <w:tcPr>
            <w:tcW w:type="dxa" w:w="26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Why add it</w:t>
            </w:r>
          </w:p>
        </w:tc>
        <w:tc>
          <w:tcPr>
            <w:tcW w:type="dxa" w:w="276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Formula / implementation</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Alpha entropy (SampEn proxy)</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std(alpha_slope) across rolling 30-sample windows — irregularity of alpha fluctuation</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Measures alpha complexity rather than just magnitude; more sensitive to vritti transitions than CV</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SampEn_proxy = std(diff(alpha_per_sample)) / mean(alpha_per_sample) per segment</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Theta-alpha coherence ratio</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Frontal theta / global alpha per segment — Dharana depth from ratio</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Captures the cross-band relationship documented in Vipassana and Zen EEG studies without raw EEG</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TA_ratio = theta_af / max(0.001, alpha_global); target 0.8–1.5 for Dharana approach</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Per-channel alpha asymmetry (AF7 vs AF8)</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Separate AF7 and AF8 alpha charted independently</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Frontal asymmetry plotted over time reveals emotional regulation arc during session</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Display both channels in a time-series; FAI already computed, just not trended</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 temporal:frontal ratio (T:F)</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alpha_tp / max(0.001, alpha_af) — temporal-to-frontal alpha ratio</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The sensory-withdrawal signature: as practice deepens, temporal alpha exceeds frontal</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T:F &gt; 1.2 = Pratyahara onset; add as dedicated KPI in stats bar</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Session trajectory index</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Pearson r(time, MDS_per_segment) — whether depth is improving during session</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Single number tells if the practitioner is going deeper or losing focus over time</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trend_r = Pearson(seg_index, mds_per_seg); positive = deepening; negative = fatiguing</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Beta: alpha ratio (BAR)</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|max(0,beta)| / max(0.001, alpha) per segment — analytical:calm ratio</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Simpler and more interpretable Rajas indicator than the current Kṣipta formula</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BAR &lt; 0.5 = alpha dominant; BAR &gt; 2.0 = beta dominant (Rajas excess)</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Gamma-theta interaction</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max(0, gamma) × theta per segment — Jhana-like state proxy</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Gamma-theta coupling is the neural signature of jhana and advanced absorption states</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GT_interaction = gamma × theta; high value = potential absorption state</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Blink cessation windows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Consecutive windows with blink_rate &lt; 1 — extended sensory withdrawal segments</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Identifies the depth windows within a session rather than just the average rate</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Count and display longest blink-free window; mark it in the segment timeline</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Heart rate trajectory</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Pearson r(time, hr_per_segment) — whether HR is declining during session</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Declining HR = parasympathetic deepening; flat or rising = effort/distraction pattern</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hr_trend = Pearson(seg_index, hr_per_seg); target: negative r for Dhyāna quality</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Effort arc (per-segment chart)</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Effort index plotted across segments with Dharana/Dhyana threshold line</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Visual representation of whether effortful phase transitions to effortless flow</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Add effort time-series line to the Yogic States tab with 0.05 threshold marked</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6.2 Tier 2 — Near-term additions (existing raw fields, minor code changes)</w:t>
      </w:r>
    </w:p>
    <w:p>
      <w:pPr>
        <w:spacing w:after="150"/>
      </w:pPr>
      <w:r>
        <w:rPr>
          <w:rFonts w:ascii="Arial" w:cs="Arial" w:eastAsia="Arial" w:hAnsi="Arial"/>
          <w:color w:val="1A1A1A"/>
          <w:sz w:val="19"/>
          <w:szCs w:val="19"/>
        </w:rPr>
        <w:t xml:space="preserve">These 5 metrics use data already available in the parsed rows object (per-channel bands, jaw rate, beta band) but not yet visualized or used in additional composites.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2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Purpose</w:t>
            </w:r>
          </w:p>
        </w:tc>
        <w:tc>
          <w:tcPr>
            <w:tcW w:type="dxa" w:w="26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Why add it</w:t>
            </w:r>
          </w:p>
        </w:tc>
        <w:tc>
          <w:tcPr>
            <w:tcW w:type="dxa" w:w="276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Formula / implementation</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Per-channel band power display</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Show TP9/AF7/AF8/TP10 alpha separately in a channel comparison chart</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Identifies if asymmetry is frontal-only or temporal-only — different meditation signatures</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Per-channel table already parsed in processCSV; just needs visualization</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Relative delta:theta ratio</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delta / max(0.001, theta) — sleep vs meditation discrimination</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Distinguishes Yoga Nidra local sleep (δ&gt;θ) from deep meditation (θ&gt;δ)</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DT_ratio: &lt;0.5 = deep meditation; &gt;2.0 = approaching sleep/Mūḍha</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CV(β) — beta stability</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std(beta)/|avg(beta)| per segment — beta fluctuation</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Complements CV(α); unstable beta = thought bursts interfering with meditation</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Use same formula as CV(α) applied to beta band</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Jaw:blink ratio</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jaw_rate / max(0.01, blink_rate) — concentration effort vs withdrawal</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High jaw:blink = strained focus (Dhāraṇā with tension); low = relaxed withdrawal</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J:B &gt; 2 = possible strain; J:B &lt; 0.5 = balanced Pratyahara</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Autonomic effort index v2</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0.4·std(HR)/avg(HR) + 0.3·blink_rate/10 + 0.3·gyro_avg/20</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More nuanced effort metric combining HR variability, blinks, and motion</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Replaces or augments the current HR-elevation-only effort index</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6.3 Tier 3 — New composite KPIs (philosophical depth additions)</w:t>
      </w:r>
    </w:p>
    <w:p>
      <w:pPr>
        <w:spacing w:after="150"/>
      </w:pPr>
      <w:r>
        <w:rPr>
          <w:rFonts w:ascii="Arial" w:cs="Arial" w:eastAsia="Arial" w:hAnsi="Arial"/>
          <w:color w:val="1A1A1A"/>
          <w:sz w:val="19"/>
          <w:szCs w:val="19"/>
        </w:rPr>
        <w:t xml:space="preserve">These 3 composites synthesize existing metrics into higher-order KPIs that add philosophical precision without requiring new data. The VRR requires multi-session storage.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22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Purpose</w:t>
            </w:r>
          </w:p>
        </w:tc>
        <w:tc>
          <w:tcPr>
            <w:tcW w:type="dxa" w:w="260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Why add it</w:t>
            </w:r>
          </w:p>
        </w:tc>
        <w:tc>
          <w:tcPr>
            <w:tcW w:type="dxa" w:w="2760"/>
            <w:tcBorders>
              <w:top w:val="single" w:color="CCCCCC" w:sz="1"/>
              <w:left w:val="single" w:color="CCCCCC" w:sz="1"/>
              <w:bottom w:val="single" w:color="CCCCCC" w:sz="1"/>
              <w:right w:val="single" w:color="CCCCCC" w:sz="1"/>
            </w:tcBorders>
            <w:shd w:fill="0A5A5A" w:val="clear"/>
            <w:tcMar>
              <w:top w:type="dxa" w:w="80"/>
              <w:left w:type="dxa" w:w="110"/>
              <w:bottom w:type="dxa" w:w="80"/>
              <w:right w:type="dxa" w:w="110"/>
            </w:tcMar>
            <w:vAlign w:val="center"/>
          </w:tcPr>
          <w:p>
            <w:r>
              <w:rPr>
                <w:rFonts w:ascii="Arial" w:cs="Arial" w:eastAsia="Arial" w:hAnsi="Arial"/>
                <w:b/>
                <w:bCs/>
                <w:color w:val="FFFFFF"/>
                <w:sz w:val="15"/>
                <w:szCs w:val="15"/>
              </w:rPr>
              <w:t xml:space="preserve">Formula / implementation</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Vritti Reduction Rate (VRR)</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(MWI_session1_baseline − MWI_current) / MWI_baseline × 100</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Progress metric measuring how much vritti activity has reduced vs personal baseline</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Requires session storage; best added as multi-session feature</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Guna balance index</w:t>
            </w:r>
          </w:p>
        </w:tc>
        <w:tc>
          <w:tcPr>
            <w:tcW w:type="dxa" w:w="2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(Sattva − max(Rajas, Tamas)) / (Sattva + Rajas + Tamas)</w:t>
            </w:r>
          </w:p>
        </w:tc>
        <w:tc>
          <w:tcPr>
            <w:tcW w:type="dxa" w:w="26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Normalized index: positive = Sattva dominant; negative = Rajas or Tamas dominant</w:t>
            </w:r>
          </w:p>
        </w:tc>
        <w:tc>
          <w:tcPr>
            <w:tcW w:type="dxa" w:w="27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GBI = (S − max(R,T)) / (S+R+T); target: GBI &gt; 0.3 for clear Sattva session</w:t>
            </w:r>
          </w:p>
        </w:tc>
      </w:tr>
      <w:tr>
        <w:tc>
          <w:tcPr>
            <w:tcW w:type="dxa" w:w="18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Samyama depth score</w:t>
            </w:r>
          </w:p>
        </w:tc>
        <w:tc>
          <w:tcPr>
            <w:tcW w:type="dxa" w:w="22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Pratyahara × Dharana × Dhyana (geometric mean of all three)</w:t>
            </w:r>
          </w:p>
        </w:tc>
        <w:tc>
          <w:tcPr>
            <w:tcW w:type="dxa" w:w="26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The integration of all three inner limbs — a session-wide samyama quality measure</w:t>
            </w:r>
          </w:p>
        </w:tc>
        <w:tc>
          <w:tcPr>
            <w:tcW w:type="dxa" w:w="27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SDS = (Prat × Dhar × Dhy)^(1/3); only non-zero when all three are active</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6.4 Implementation formulas — Tier 1 additions</w:t>
      </w:r>
    </w:p>
    <w:p>
      <w:pPr>
        <w:spacing w:after="150"/>
      </w:pPr>
      <w:r>
        <w:rPr>
          <w:rFonts w:ascii="Arial" w:cs="Arial" w:eastAsia="Arial" w:hAnsi="Arial"/>
          <w:color w:val="1A1A1A"/>
          <w:sz w:val="19"/>
          <w:szCs w:val="19"/>
        </w:rPr>
        <w:t xml:space="preserve">These are ready-to-paste JavaScript fragments for the segment computation loop in processCSV(), using the same variable naming conventions as the existing code.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10"/>
              <w:left w:type="dxa" w:w="180"/>
              <w:bottom w:type="dxa" w:w="110"/>
              <w:right w:type="dxa" w:w="180"/>
            </w:tcMar>
          </w:tcPr>
          <w:p>
            <w:pPr>
              <w:spacing w:after="70"/>
            </w:pPr>
            <w:r>
              <w:rPr>
                <w:rFonts w:ascii="Courier New" w:cs="Courier New" w:eastAsia="Courier New" w:hAnsi="Courier New"/>
                <w:b/>
                <w:bCs/>
                <w:color w:val="4A2580"/>
                <w:sz w:val="17"/>
                <w:szCs w:val="17"/>
              </w:rPr>
              <w:t xml:space="preserve">Alpha entropy proxy (add inside segment loop)</w:t>
            </w:r>
          </w:p>
          <w:p>
            <w:pPr>
              <w:spacing w:after="50"/>
            </w:pPr>
            <w:r>
              <w:rPr>
                <w:rFonts w:ascii="Courier New" w:cs="Courier New" w:eastAsia="Courier New" w:hAnsi="Courier New"/>
                <w:color w:val="1A1A1A"/>
                <w:sz w:val="16"/>
                <w:szCs w:val="16"/>
              </w:rPr>
              <w:t xml:space="preserve">// Requires per-sample alpha values in the segment slice</w:t>
            </w:r>
          </w:p>
          <w:p>
            <w:pPr>
              <w:spacing w:after="50"/>
            </w:pPr>
            <w:r>
              <w:rPr>
                <w:rFonts w:ascii="Courier New" w:cs="Courier New" w:eastAsia="Courier New" w:hAnsi="Courier New"/>
                <w:color w:val="1A1A1A"/>
                <w:sz w:val="16"/>
                <w:szCs w:val="16"/>
              </w:rPr>
              <w:t xml:space="preserve">var alphaSlice = sl.map(function(r){return r.a||0;});</w:t>
            </w:r>
          </w:p>
          <w:p>
            <w:pPr>
              <w:spacing w:after="50"/>
            </w:pPr>
            <w:r>
              <w:rPr>
                <w:rFonts w:ascii="Courier New" w:cs="Courier New" w:eastAsia="Courier New" w:hAnsi="Courier New"/>
                <w:color w:val="1A1A1A"/>
                <w:sz w:val="16"/>
                <w:szCs w:val="16"/>
              </w:rPr>
              <w:t xml:space="preserve">var alphaDiff = [];</w:t>
            </w:r>
          </w:p>
          <w:p>
            <w:pPr>
              <w:spacing w:after="50"/>
            </w:pPr>
            <w:r>
              <w:rPr>
                <w:rFonts w:ascii="Courier New" w:cs="Courier New" w:eastAsia="Courier New" w:hAnsi="Courier New"/>
                <w:color w:val="1A1A1A"/>
                <w:sz w:val="16"/>
                <w:szCs w:val="16"/>
              </w:rPr>
              <w:t xml:space="preserve">for(var k=1;k&lt;alphaSlice.length;k++)</w:t>
            </w:r>
          </w:p>
          <w:p>
            <w:pPr>
              <w:spacing w:after="50"/>
            </w:pPr>
            <w:r>
              <w:rPr>
                <w:rFonts w:ascii="Courier New" w:cs="Courier New" w:eastAsia="Courier New" w:hAnsi="Courier New"/>
                <w:color w:val="1A1A1A"/>
                <w:sz w:val="16"/>
                <w:szCs w:val="16"/>
              </w:rPr>
              <w:t xml:space="preserve">  alphaDiff.push(Math.abs(alphaSlice[k]-alphaSlice[k-1]));</w:t>
            </w:r>
          </w:p>
          <w:p>
            <w:pPr>
              <w:spacing w:after="50"/>
            </w:pPr>
            <w:r>
              <w:rPr>
                <w:rFonts w:ascii="Courier New" w:cs="Courier New" w:eastAsia="Courier New" w:hAnsi="Courier New"/>
                <w:color w:val="1A1A1A"/>
                <w:sz w:val="16"/>
                <w:szCs w:val="16"/>
              </w:rPr>
              <w:t xml:space="preserve">var alphaEnt = alphaDiff.length ? std_arr(alphaDiff)/Math.max(0.001,avg_arr(alphaSlice)) : 0;</w:t>
            </w:r>
          </w:p>
          <w:p>
            <w:pPr>
              <w:spacing w:after="50"/>
            </w:pPr>
            <w:r>
              <w:rPr>
                <w:rFonts w:ascii="Courier New" w:cs="Courier New" w:eastAsia="Courier New" w:hAnsi="Courier New"/>
                <w:color w:val="1A1A1A"/>
                <w:sz w:val="16"/>
                <w:szCs w:val="16"/>
              </w:rPr>
              <w:t xml:space="preserve">// Higher alphaEnt = more irregular alpha = more vritti transitions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10"/>
              <w:left w:type="dxa" w:w="180"/>
              <w:bottom w:type="dxa" w:w="110"/>
              <w:right w:type="dxa" w:w="180"/>
            </w:tcMar>
          </w:tcPr>
          <w:p>
            <w:pPr>
              <w:spacing w:after="70"/>
            </w:pPr>
            <w:r>
              <w:rPr>
                <w:rFonts w:ascii="Courier New" w:cs="Courier New" w:eastAsia="Courier New" w:hAnsi="Courier New"/>
                <w:b/>
                <w:bCs/>
                <w:color w:val="4A2580"/>
                <w:sz w:val="17"/>
                <w:szCs w:val="17"/>
              </w:rPr>
              <w:t xml:space="preserve">Theta:alpha ratio and T:F ratio (add inside segment loop)</w:t>
            </w:r>
          </w:p>
          <w:p>
            <w:pPr>
              <w:spacing w:after="50"/>
            </w:pPr>
            <w:r>
              <w:rPr>
                <w:rFonts w:ascii="Courier New" w:cs="Courier New" w:eastAsia="Courier New" w:hAnsi="Courier New"/>
                <w:color w:val="1A1A1A"/>
                <w:sz w:val="16"/>
                <w:szCs w:val="16"/>
              </w:rPr>
              <w:t xml:space="preserve">var ta_ratio = avg('theta_af') / Math.max(0.001, avg('a'));</w:t>
            </w:r>
          </w:p>
          <w:p>
            <w:pPr>
              <w:spacing w:after="50"/>
            </w:pPr>
            <w:r>
              <w:rPr>
                <w:rFonts w:ascii="Courier New" w:cs="Courier New" w:eastAsia="Courier New" w:hAnsi="Courier New"/>
                <w:color w:val="1A1A1A"/>
                <w:sz w:val="16"/>
                <w:szCs w:val="16"/>
              </w:rPr>
              <w:t xml:space="preserve">// ta_ratio: 0.8-1.5 = Dharana approach; &gt;2 = deep theta (Dhyana territory)</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var tf_ratio = avg('alpha_tp') / Math.max(0.001, avg('alpha_af'));</w:t>
            </w:r>
          </w:p>
          <w:p>
            <w:pPr>
              <w:spacing w:after="50"/>
            </w:pPr>
            <w:r>
              <w:rPr>
                <w:rFonts w:ascii="Courier New" w:cs="Courier New" w:eastAsia="Courier New" w:hAnsi="Courier New"/>
                <w:color w:val="1A1A1A"/>
                <w:sz w:val="16"/>
                <w:szCs w:val="16"/>
              </w:rPr>
              <w:t xml:space="preserve">// tf_ratio &gt; 1.2 = temporal &gt; frontal = Pratyahara onset</w:t>
            </w:r>
          </w:p>
          <w:p>
            <w:pPr>
              <w:spacing w:after="50"/>
            </w:pPr>
            <w:r>
              <w:rPr>
                <w:rFonts w:ascii="Courier New" w:cs="Courier New" w:eastAsia="Courier New" w:hAnsi="Courier New"/>
                <w:color w:val="1A1A1A"/>
                <w:sz w:val="16"/>
                <w:szCs w:val="16"/>
              </w:rPr>
              <w:t xml:space="preserve">// tf_ratio &lt; 0.8 = frontal dominant = still externally oriented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10"/>
              <w:left w:type="dxa" w:w="180"/>
              <w:bottom w:type="dxa" w:w="110"/>
              <w:right w:type="dxa" w:w="180"/>
            </w:tcMar>
          </w:tcPr>
          <w:p>
            <w:pPr>
              <w:spacing w:after="70"/>
            </w:pPr>
            <w:r>
              <w:rPr>
                <w:rFonts w:ascii="Courier New" w:cs="Courier New" w:eastAsia="Courier New" w:hAnsi="Courier New"/>
                <w:b/>
                <w:bCs/>
                <w:color w:val="4A2580"/>
                <w:sz w:val="17"/>
                <w:szCs w:val="17"/>
              </w:rPr>
              <w:t xml:space="preserve">Session trajectory index (add after all segments computed)</w:t>
            </w:r>
          </w:p>
          <w:p>
            <w:pPr>
              <w:spacing w:after="50"/>
            </w:pPr>
            <w:r>
              <w:rPr>
                <w:rFonts w:ascii="Courier New" w:cs="Courier New" w:eastAsia="Courier New" w:hAnsi="Courier New"/>
                <w:color w:val="1A1A1A"/>
                <w:sz w:val="16"/>
                <w:szCs w:val="16"/>
              </w:rPr>
              <w:t xml:space="preserve">// Compute Pearson r between segment index and MDS values</w:t>
            </w:r>
          </w:p>
          <w:p>
            <w:pPr>
              <w:spacing w:after="50"/>
            </w:pPr>
            <w:r>
              <w:rPr>
                <w:rFonts w:ascii="Courier New" w:cs="Courier New" w:eastAsia="Courier New" w:hAnsi="Courier New"/>
                <w:color w:val="1A1A1A"/>
                <w:sz w:val="16"/>
                <w:szCs w:val="16"/>
              </w:rPr>
              <w:t xml:space="preserve">function pearson(xs, ys) {</w:t>
            </w:r>
          </w:p>
          <w:p>
            <w:pPr>
              <w:spacing w:after="50"/>
            </w:pPr>
            <w:r>
              <w:rPr>
                <w:rFonts w:ascii="Courier New" w:cs="Courier New" w:eastAsia="Courier New" w:hAnsi="Courier New"/>
                <w:color w:val="1A1A1A"/>
                <w:sz w:val="16"/>
                <w:szCs w:val="16"/>
              </w:rPr>
              <w:t xml:space="preserve">  var n=xs.length, mx=0, my=0;</w:t>
            </w:r>
          </w:p>
          <w:p>
            <w:pPr>
              <w:spacing w:after="50"/>
            </w:pPr>
            <w:r>
              <w:rPr>
                <w:rFonts w:ascii="Courier New" w:cs="Courier New" w:eastAsia="Courier New" w:hAnsi="Courier New"/>
                <w:color w:val="1A1A1A"/>
                <w:sz w:val="16"/>
                <w:szCs w:val="16"/>
              </w:rPr>
              <w:t xml:space="preserve">  for(var i=0;i&lt;n;i++){mx+=xs[i];my+=ys[i];}</w:t>
            </w:r>
          </w:p>
          <w:p>
            <w:pPr>
              <w:spacing w:after="50"/>
            </w:pPr>
            <w:r>
              <w:rPr>
                <w:rFonts w:ascii="Courier New" w:cs="Courier New" w:eastAsia="Courier New" w:hAnsi="Courier New"/>
                <w:color w:val="1A1A1A"/>
                <w:sz w:val="16"/>
                <w:szCs w:val="16"/>
              </w:rPr>
              <w:t xml:space="preserve">  mx/=n; my/=n;</w:t>
            </w:r>
          </w:p>
          <w:p>
            <w:pPr>
              <w:spacing w:after="50"/>
            </w:pPr>
            <w:r>
              <w:rPr>
                <w:rFonts w:ascii="Courier New" w:cs="Courier New" w:eastAsia="Courier New" w:hAnsi="Courier New"/>
                <w:color w:val="1A1A1A"/>
                <w:sz w:val="16"/>
                <w:szCs w:val="16"/>
              </w:rPr>
              <w:t xml:space="preserve">  var num=0,dx=0,dy=0;</w:t>
            </w:r>
          </w:p>
          <w:p>
            <w:pPr>
              <w:spacing w:after="50"/>
            </w:pPr>
            <w:r>
              <w:rPr>
                <w:rFonts w:ascii="Courier New" w:cs="Courier New" w:eastAsia="Courier New" w:hAnsi="Courier New"/>
                <w:color w:val="1A1A1A"/>
                <w:sz w:val="16"/>
                <w:szCs w:val="16"/>
              </w:rPr>
              <w:t xml:space="preserve">  for(var i=0;i&lt;n;i++){</w:t>
            </w:r>
          </w:p>
          <w:p>
            <w:pPr>
              <w:spacing w:after="50"/>
            </w:pPr>
            <w:r>
              <w:rPr>
                <w:rFonts w:ascii="Courier New" w:cs="Courier New" w:eastAsia="Courier New" w:hAnsi="Courier New"/>
                <w:color w:val="1A1A1A"/>
                <w:sz w:val="16"/>
                <w:szCs w:val="16"/>
              </w:rPr>
              <w:t xml:space="preserve">    num+=(xs[i]-mx)*(ys[i]-my);</w:t>
            </w:r>
          </w:p>
          <w:p>
            <w:pPr>
              <w:spacing w:after="50"/>
            </w:pPr>
            <w:r>
              <w:rPr>
                <w:rFonts w:ascii="Courier New" w:cs="Courier New" w:eastAsia="Courier New" w:hAnsi="Courier New"/>
                <w:color w:val="1A1A1A"/>
                <w:sz w:val="16"/>
                <w:szCs w:val="16"/>
              </w:rPr>
              <w:t xml:space="preserve">    dx+=Math.pow(xs[i]-mx,2);</w:t>
            </w:r>
          </w:p>
          <w:p>
            <w:pPr>
              <w:spacing w:after="50"/>
            </w:pPr>
            <w:r>
              <w:rPr>
                <w:rFonts w:ascii="Courier New" w:cs="Courier New" w:eastAsia="Courier New" w:hAnsi="Courier New"/>
                <w:color w:val="1A1A1A"/>
                <w:sz w:val="16"/>
                <w:szCs w:val="16"/>
              </w:rPr>
              <w:t xml:space="preserve">    dy+=Math.pow(ys[i]-my,2);</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  return num/Math.max(0.0001,Math.sqrt(dx*dy));</w:t>
            </w:r>
          </w:p>
          <w:p>
            <w:pPr>
              <w:spacing w:after="50"/>
            </w:pPr>
            <w:r>
              <w:rPr>
                <w:rFonts w:ascii="Courier New" w:cs="Courier New" w:eastAsia="Courier New" w:hAnsi="Courier New"/>
                <w:color w:val="1A1A1A"/>
                <w:sz w:val="16"/>
                <w:szCs w:val="16"/>
              </w:rPr>
              <w:t xml:space="preserve">}</w:t>
            </w:r>
          </w:p>
          <w:p>
            <w:pPr>
              <w:spacing w:after="50"/>
            </w:pPr>
            <w:r>
              <w:rPr>
                <w:rFonts w:ascii="Courier New" w:cs="Courier New" w:eastAsia="Courier New" w:hAnsi="Courier New"/>
                <w:color w:val="1A1A1A"/>
                <w:sz w:val="16"/>
                <w:szCs w:val="16"/>
              </w:rPr>
              <w:t xml:space="preserve">var segIdx = segs.map(function(s,i){return i;});</w:t>
            </w:r>
          </w:p>
          <w:p>
            <w:pPr>
              <w:spacing w:after="50"/>
            </w:pPr>
            <w:r>
              <w:rPr>
                <w:rFonts w:ascii="Courier New" w:cs="Courier New" w:eastAsia="Courier New" w:hAnsi="Courier New"/>
                <w:color w:val="1A1A1A"/>
                <w:sz w:val="16"/>
                <w:szCs w:val="16"/>
              </w:rPr>
              <w:t xml:space="preserve">var mdsVals = segs.map(function(s){return s.mds;});</w:t>
            </w:r>
          </w:p>
          <w:p>
            <w:pPr>
              <w:spacing w:after="50"/>
            </w:pPr>
            <w:r>
              <w:rPr>
                <w:rFonts w:ascii="Courier New" w:cs="Courier New" w:eastAsia="Courier New" w:hAnsi="Courier New"/>
                <w:color w:val="1A1A1A"/>
                <w:sz w:val="16"/>
                <w:szCs w:val="16"/>
              </w:rPr>
              <w:t xml:space="preserve">var trajectory_r = pearson(segIdx, mdsVals);</w:t>
            </w:r>
          </w:p>
          <w:p>
            <w:pPr>
              <w:spacing w:after="50"/>
            </w:pPr>
            <w:r>
              <w:rPr>
                <w:rFonts w:ascii="Courier New" w:cs="Courier New" w:eastAsia="Courier New" w:hAnsi="Courier New"/>
                <w:color w:val="1A1A1A"/>
                <w:sz w:val="16"/>
                <w:szCs w:val="16"/>
              </w:rPr>
              <w:t xml:space="preserve">// trajectory_r &gt; 0.5 = clearly deepening session</w:t>
            </w:r>
          </w:p>
          <w:p>
            <w:pPr>
              <w:spacing w:after="50"/>
            </w:pPr>
            <w:r>
              <w:rPr>
                <w:rFonts w:ascii="Courier New" w:cs="Courier New" w:eastAsia="Courier New" w:hAnsi="Courier New"/>
                <w:color w:val="1A1A1A"/>
                <w:sz w:val="16"/>
                <w:szCs w:val="16"/>
              </w:rPr>
              <w:t xml:space="preserve">// trajectory_r &lt; -0.5 = fatigue or distraction pattern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10"/>
              <w:left w:type="dxa" w:w="180"/>
              <w:bottom w:type="dxa" w:w="110"/>
              <w:right w:type="dxa" w:w="180"/>
            </w:tcMar>
          </w:tcPr>
          <w:p>
            <w:pPr>
              <w:spacing w:after="70"/>
            </w:pPr>
            <w:r>
              <w:rPr>
                <w:rFonts w:ascii="Courier New" w:cs="Courier New" w:eastAsia="Courier New" w:hAnsi="Courier New"/>
                <w:b/>
                <w:bCs/>
                <w:color w:val="4A2580"/>
                <w:sz w:val="17"/>
                <w:szCs w:val="17"/>
              </w:rPr>
              <w:t xml:space="preserve">Beta:alpha ratio and Guna balance index (add to segment object)</w:t>
            </w:r>
          </w:p>
          <w:p>
            <w:pPr>
              <w:spacing w:after="50"/>
            </w:pPr>
            <w:r>
              <w:rPr>
                <w:rFonts w:ascii="Courier New" w:cs="Courier New" w:eastAsia="Courier New" w:hAnsi="Courier New"/>
                <w:color w:val="1A1A1A"/>
                <w:sz w:val="16"/>
                <w:szCs w:val="16"/>
              </w:rPr>
              <w:t xml:space="preserve">var bar = Math.max(0,b) / Math.max(0.001, Math.abs(a));</w:t>
            </w:r>
          </w:p>
          <w:p>
            <w:pPr>
              <w:spacing w:after="50"/>
            </w:pPr>
            <w:r>
              <w:rPr>
                <w:rFonts w:ascii="Courier New" w:cs="Courier New" w:eastAsia="Courier New" w:hAnsi="Courier New"/>
                <w:color w:val="1A1A1A"/>
                <w:sz w:val="16"/>
                <w:szCs w:val="16"/>
              </w:rPr>
              <w:t xml:space="preserve">// bar &lt; 0.5 = alpha dominant (Sattva); bar &gt; 2 = beta dominant (Rajas)</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var gt_interaction = Math.max(0,g) * Math.max(0,th);</w:t>
            </w:r>
          </w:p>
          <w:p>
            <w:pPr>
              <w:spacing w:after="50"/>
            </w:pPr>
            <w:r>
              <w:rPr>
                <w:rFonts w:ascii="Courier New" w:cs="Courier New" w:eastAsia="Courier New" w:hAnsi="Courier New"/>
                <w:color w:val="1A1A1A"/>
                <w:sz w:val="16"/>
                <w:szCs w:val="16"/>
              </w:rPr>
              <w:t xml:space="preserve">// gamma-theta interaction: high = potential absorption / jhana-adjacent state</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var guna_total = sattva + rajas + tamas || 1;</w:t>
            </w:r>
          </w:p>
          <w:p>
            <w:pPr>
              <w:spacing w:after="50"/>
            </w:pPr>
            <w:r>
              <w:rPr>
                <w:rFonts w:ascii="Courier New" w:cs="Courier New" w:eastAsia="Courier New" w:hAnsi="Courier New"/>
                <w:color w:val="1A1A1A"/>
                <w:sz w:val="16"/>
                <w:szCs w:val="16"/>
              </w:rPr>
              <w:t xml:space="preserve">var gbi = (sattva - Math.max(rajas,tamas)) / guna_total;</w:t>
            </w:r>
          </w:p>
          <w:p>
            <w:pPr>
              <w:spacing w:after="50"/>
            </w:pPr>
            <w:r>
              <w:rPr>
                <w:rFonts w:ascii="Courier New" w:cs="Courier New" w:eastAsia="Courier New" w:hAnsi="Courier New"/>
                <w:color w:val="1A1A1A"/>
                <w:sz w:val="16"/>
                <w:szCs w:val="16"/>
              </w:rPr>
              <w:t xml:space="preserve">// gbi &gt; 0.3 = clear Sattva session; &lt; 0 = Rajas or Tamas dominant</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var samyama_score = Math.pow(pra * Math.max(0.001,dha) * Math.max(0.001,dhy), 1/3);</w:t>
            </w:r>
          </w:p>
          <w:p>
            <w:pPr>
              <w:spacing w:after="50"/>
            </w:pPr>
            <w:r>
              <w:rPr>
                <w:rFonts w:ascii="Courier New" w:cs="Courier New" w:eastAsia="Courier New" w:hAnsi="Courier New"/>
                <w:color w:val="1A1A1A"/>
                <w:sz w:val="16"/>
                <w:szCs w:val="16"/>
              </w:rPr>
              <w:t xml:space="preserve">// Geometric mean of all three inner limbs — only non-zero when all active</w:t>
            </w:r>
          </w:p>
        </w:tc>
      </w:tr>
    </w:tbl>
    <w:p>
      <w:pPr>
        <w:spacing w:after="120"/>
      </w:pPr>
      <w:r>
        <w:t xml:space="preserve"/>
      </w:r>
    </w:p>
    <w:p>
      <w:r>
        <w:br w:type="page"/>
      </w:r>
    </w:p>
    <w:p>
      <w:pPr>
        <w:pStyle w:val="Heading1"/>
        <w:spacing w:after="120" w:before="380"/>
      </w:pPr>
      <w:r>
        <w:rPr>
          <w:rFonts w:ascii="Arial" w:cs="Arial" w:eastAsia="Arial" w:hAnsi="Arial"/>
          <w:b/>
          <w:bCs/>
          <w:color w:val="1B2A4A"/>
          <w:sz w:val="18"/>
          <w:szCs w:val="18"/>
        </w:rPr>
        <w:t xml:space="preserve">7. Enhancement Roadmap</w:t>
      </w:r>
    </w:p>
    <w:p>
      <w:pPr>
        <w:spacing w:after="150"/>
      </w:pPr>
      <w:r>
        <w:rPr>
          <w:rFonts w:ascii="Arial" w:cs="Arial" w:eastAsia="Arial" w:hAnsi="Arial"/>
          <w:color w:val="1A1A1A"/>
          <w:sz w:val="19"/>
          <w:szCs w:val="19"/>
        </w:rPr>
        <w:t xml:space="preserve">A prioritized implementation plan for transforming InwardJourney from a CSV-band-average analyser into a full neuroscience research companion for Muse S Athena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000"/>
        <w:gridCol w:w="24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Tier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What's needed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Metrics unlocked</w:t>
            </w:r>
          </w:p>
        </w:tc>
        <w:tc>
          <w:tcPr>
            <w:tcW w:type="dxa" w:w="246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Notes</w:t>
            </w:r>
          </w:p>
        </w:tc>
      </w:tr>
      <w:tr>
        <w:tc>
          <w:tcPr>
            <w:tcW w:type="dxa" w:w="14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Tier 1
(Immediate)</w:t>
            </w:r>
          </w:p>
        </w:tc>
        <w:tc>
          <w:tcPr>
            <w:tcW w:type="dxa" w:w="1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CSV-only additions — no new sensors</w:t>
            </w:r>
          </w:p>
        </w:tc>
        <w:tc>
          <w:tcPr>
            <w:tcW w:type="dxa" w:w="4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10 new KPIs from existing CSV fields: alpha entropy, theta:alpha ratio, T:F ratio, session trajectory index, BAR, gamma-theta interaction, blink cessation windows, HR trajectory, per-channel display, delta:theta ratio. All derivable from current Mind Monitor CSV data.</w:t>
            </w:r>
          </w:p>
        </w:tc>
        <w:tc>
          <w:tcPr>
            <w:tcW w:type="dxa" w:w="24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Add to existing tabs; no data collection changes required</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Tier 2
(Near-term)</w:t>
            </w:r>
          </w:p>
        </w:tc>
        <w:tc>
          <w:tcPr>
            <w:tcW w:type="dxa" w:w="1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Mind Monitor raw field access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Per-channel per-band visualization (already parsed, not shown), CV(β), jaw:blink ratio, autonomic effort v2. Mind Monitor already exports per-channel data — just needs UI additions.</w:t>
            </w:r>
          </w:p>
        </w:tc>
        <w:tc>
          <w:tcPr>
            <w:tcW w:type="dxa" w:w="24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Minor code changes; data already available in the CSV parser</w:t>
            </w:r>
          </w:p>
        </w:tc>
      </w:tr>
      <w:tr>
        <w:tc>
          <w:tcPr>
            <w:tcW w:type="dxa" w:w="14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Tier 3
(Architecture)</w:t>
            </w:r>
          </w:p>
        </w:tc>
        <w:tc>
          <w:tcPr>
            <w:tcW w:type="dxa" w:w="1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Multi-session memory</w:t>
            </w:r>
          </w:p>
        </w:tc>
        <w:tc>
          <w:tcPr>
            <w:tcW w:type="dxa" w:w="4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VRR (Vritti Reduction Rate), 30-day baseline tracking, longitudinal progress dashboard. Requires localStorage or server storage for session history.</w:t>
            </w:r>
          </w:p>
        </w:tc>
        <w:tc>
          <w:tcPr>
            <w:tcW w:type="dxa" w:w="24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Significant feature addition; foundational for long-term practitioner tracking</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Tier 4
(Hardware)</w:t>
            </w:r>
          </w:p>
        </w:tc>
        <w:tc>
          <w:tcPr>
            <w:tcW w:type="dxa" w:w="15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Raw PPG R-R intervals</w:t>
            </w:r>
          </w:p>
        </w:tc>
        <w:tc>
          <w:tcPr>
            <w:tcW w:type="dxa" w:w="40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True RMSSD, SDNN, pNN50, RSA, heart coherence. Requires Mind Monitor's raw data export or direct Muse SDK access to get beat-to-beat intervals rather than BPM.</w:t>
            </w:r>
          </w:p>
        </w:tc>
        <w:tc>
          <w:tcPr>
            <w:tcW w:type="dxa" w:w="246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top"/>
          </w:tcPr>
          <w:p>
            <w:r>
              <w:rPr>
                <w:rFonts w:ascii="Arial" w:cs="Arial" w:eastAsia="Arial" w:hAnsi="Arial"/>
                <w:color w:val="1A1A1A"/>
                <w:sz w:val="17"/>
                <w:szCs w:val="17"/>
              </w:rPr>
              <w:t xml:space="preserve">Integration with OSC stream or Muse SDK — highest value physiological upgrade</w:t>
            </w:r>
          </w:p>
        </w:tc>
      </w:tr>
      <w:tr>
        <w:tc>
          <w:tcPr>
            <w:tcW w:type="dxa" w:w="14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Tier 5
(Research API)</w:t>
            </w:r>
          </w:p>
        </w:tc>
        <w:tc>
          <w:tcPr>
            <w:tcW w:type="dxa" w:w="15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Raw EEG streaming</w:t>
            </w:r>
          </w:p>
        </w:tc>
        <w:tc>
          <w:tcPr>
            <w:tcW w:type="dxa" w:w="400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Aperiodic 1/f exponent, PAF, interhemispheric coherence, LZ complexity, phase-amplitude coupling. Requires raw EEG stream (Mind Monitor OSC or Muse Research API) processed in Python/MATLAB.</w:t>
            </w:r>
          </w:p>
        </w:tc>
        <w:tc>
          <w:tcPr>
            <w:tcW w:type="dxa" w:w="2460"/>
            <w:tcBorders>
              <w:top w:val="single" w:color="CCCCCC" w:sz="1"/>
              <w:left w:val="single" w:color="CCCCCC" w:sz="1"/>
              <w:bottom w:val="single" w:color="CCCCCC" w:sz="1"/>
              <w:right w:val="single" w:color="CCCCCC" w:sz="1"/>
            </w:tcBorders>
            <w:shd w:fill="F9F9F9" w:val="clear"/>
            <w:tcMar>
              <w:top w:type="dxa" w:w="75"/>
              <w:left w:type="dxa" w:w="110"/>
              <w:bottom w:type="dxa" w:w="75"/>
              <w:right w:type="dxa" w:w="110"/>
            </w:tcMar>
            <w:vAlign w:val="top"/>
          </w:tcPr>
          <w:p>
            <w:r>
              <w:rPr>
                <w:rFonts w:ascii="Arial" w:cs="Arial" w:eastAsia="Arial" w:hAnsi="Arial"/>
                <w:color w:val="1A1A1A"/>
                <w:sz w:val="17"/>
                <w:szCs w:val="17"/>
              </w:rPr>
              <w:t xml:space="preserve">Highest research value; transforms app from consumer tool to research instrument</w:t>
            </w:r>
          </w:p>
        </w:tc>
      </w:tr>
    </w:tbl>
    <w:p>
      <w:pPr>
        <w:spacing w:after="120"/>
      </w:pPr>
      <w:r>
        <w:t xml:space="preserve"/>
      </w:r>
    </w:p>
    <w:p>
      <w:pPr>
        <w:pStyle w:val="Heading2"/>
        <w:spacing w:after="120" w:before="260"/>
      </w:pPr>
      <w:r>
        <w:rPr>
          <w:rFonts w:ascii="Arial" w:cs="Arial" w:eastAsia="Arial" w:hAnsi="Arial"/>
          <w:b/>
          <w:bCs/>
          <w:color w:val="1B2A4A"/>
          <w:sz w:val="18"/>
          <w:szCs w:val="18"/>
        </w:rPr>
        <w:t xml:space="preserve">7.1 Priority recommendation</w:t>
      </w:r>
    </w:p>
    <w:p>
      <w:pPr>
        <w:spacing w:after="150"/>
      </w:pPr>
      <w:r>
        <w:rPr>
          <w:rFonts w:ascii="Arial" w:cs="Arial" w:eastAsia="Arial" w:hAnsi="Arial"/>
          <w:color w:val="1A1A1A"/>
          <w:sz w:val="19"/>
          <w:szCs w:val="19"/>
        </w:rPr>
        <w:t xml:space="preserve">The highest-value single addition — requiring the least new infrastructure — is multi-session storage (Tier 3 architecture). Many of the most meaningful meditation metrics (Vritti Reduction Rate, longitudinal alpha trajectory, 30-day HRV baseline) only become meaningful over multiple sessions. A practitioner's single session MDS score is far less useful than the same score compared to their personal 30-day average. Adding localStorage persistence of session summaries would unlock all longitudinal KPIs without any sensor changes.</w:t>
      </w:r>
    </w:p>
    <w:p>
      <w:pPr>
        <w:spacing w:after="120"/>
      </w:pPr>
      <w:r>
        <w:t xml:space="preserve"/>
      </w:r>
    </w:p>
    <w:p>
      <w:pPr>
        <w:spacing w:after="150"/>
      </w:pPr>
      <w:r>
        <w:rPr>
          <w:rFonts w:ascii="Arial" w:cs="Arial" w:eastAsia="Arial" w:hAnsi="Arial"/>
          <w:color w:val="1A1A1A"/>
          <w:sz w:val="19"/>
          <w:szCs w:val="19"/>
        </w:rPr>
        <w:t xml:space="preserve">The second highest priority is switching to Mind Monitor's OSC stream for raw PPG access. This would enable genuine RMSSD computation, which is the gold-standard metric for measuring pranayama effectiveness and the one metric most requested by researchers and serious practitioners.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A" w:sz="1"/>
              <w:left w:val="single" w:color="7D5A0A" w:sz="1"/>
              <w:bottom w:val="single" w:color="7D5A0A" w:sz="1"/>
              <w:right w:val="single" w:color="7D5A0A" w:sz="1"/>
            </w:tcBorders>
            <w:shd w:fill="FEF6E4" w:val="clear"/>
            <w:tcMar>
              <w:top w:type="dxa" w:w="140"/>
              <w:left w:type="dxa" w:w="200"/>
              <w:bottom w:type="dxa" w:w="140"/>
              <w:right w:type="dxa" w:w="200"/>
            </w:tcMar>
          </w:tcPr>
          <w:p>
            <w:pPr>
              <w:spacing w:after="80"/>
            </w:pPr>
            <w:r>
              <w:rPr>
                <w:rFonts w:ascii="Arial" w:cs="Arial" w:eastAsia="Arial" w:hAnsi="Arial"/>
                <w:b/>
                <w:bCs/>
                <w:color w:val="7D5A0A"/>
                <w:sz w:val="19"/>
                <w:szCs w:val="19"/>
              </w:rPr>
              <w:t xml:space="preserve">Notes on data sources and limitations</w:t>
            </w:r>
          </w:p>
          <w:p>
            <w:r>
              <w:rPr>
                <w:rFonts w:ascii="Arial" w:cs="Arial" w:eastAsia="Arial" w:hAnsi="Arial"/>
                <w:color w:val="1A1A1A"/>
                <w:sz w:val="17"/>
                <w:szCs w:val="17"/>
              </w:rPr>
              <w:t xml:space="preserve">All metric formulas in Section 1 are extracted verbatim from the InwardJourney.html JavaScript source. All research document references are to the series of docx files previously created in this research session (Samkhya, Yoga Sutras/Ashtanga/Hatha, Kashmiri Shaivism, Multi-tradition). The 'research document' benchmarks described reflect published peer-reviewed literature cited in those documents, not proprietary Muse/Interaxon standards. Recommended additions (Section 6) are designed specifically for Mind Monitor CSV format and the Mind Monitor data model; formulas may require adaptation for other Muse data pipelines. The Muse S Athena is a consumer wellness device — not FDA-cleared for clinical use. No metric in this document constitutes medical advice.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70"/>
    </w:pPr>
    <w:r>
      <w:rPr>
        <w:rFonts w:ascii="Arial" w:cs="Arial" w:eastAsia="Arial" w:hAnsi="Arial"/>
        <w:color w:val="888780"/>
        <w:sz w:val="15"/>
        <w:szCs w:val="15"/>
      </w:rPr>
      <w:t xml:space="preserve">Muse S Athena × Yogic Framework  |  Inward Journey Detector Analysis</w:t>
    </w:r>
    <w:r>
      <w:rPr>
        <w:rFonts w:ascii="Arial" w:cs="Arial" w:eastAsia="Arial" w:hAnsi="Arial"/>
        <w:color w:val="888780"/>
        <w:sz w:val="15"/>
        <w:szCs w:val="15"/>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70"/>
    </w:pPr>
    <w:r>
      <w:rPr>
        <w:rFonts w:ascii="Arial" w:cs="Arial" w:eastAsia="Arial" w:hAnsi="Arial"/>
        <w:color w:val="888780"/>
        <w:sz w:val="15"/>
        <w:szCs w:val="15"/>
      </w:rPr>
      <w:t xml:space="preserve">InwardJourney HTML App — Metrics Analysis, Differences &amp; Enhancement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4A2580"/>
      <w:sz w:val="22"/>
      <w:szCs w:val="22"/>
    </w:rPr>
  </w:style>
  <w:style w:type="paragraph" w:styleId="Heading3">
    <w:name w:val="Heading 3"/>
    <w:basedOn w:val="Normal"/>
    <w:next w:val="Normal"/>
    <w:qFormat/>
    <w:pPr>
      <w:spacing w:after="80" w:before="180"/>
      <w:outlineLvl w:val="2"/>
    </w:pPr>
    <w:rPr>
      <w:rFonts w:ascii="Arial" w:cs="Arial" w:eastAsia="Arial" w:hAnsi="Arial"/>
      <w:b/>
      <w:bCs/>
      <w:color w:val="444441"/>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2026-04-18T06:44:41.503Z</dcterms:created>
  <dcterms:modified xsi:type="dcterms:W3CDTF">2026-04-18T06:44:41.504Z</dcterms:modified>
</cp:coreProperties>
</file>

<file path=docProps/custom.xml><?xml version="1.0" encoding="utf-8"?>
<Properties xmlns="http://schemas.openxmlformats.org/officeDocument/2006/custom-properties" xmlns:vt="http://schemas.openxmlformats.org/officeDocument/2006/docPropsVTypes"/>
</file>