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df0ca99160e708c85a1f328fcb7df03c804cd75"/>
    <w:p>
      <w:pPr>
        <w:pStyle w:val="Heading1"/>
      </w:pPr>
      <w:r>
        <w:t xml:space="preserve">Nexus: Un Motor NL→SQL Local para Forense Digital en Entornos Air-Gap con Corrección Automática de Alucinaciones</w:t>
      </w:r>
    </w:p>
    <w:p>
      <w:pPr>
        <w:pStyle w:val="FirstParagraph"/>
      </w:pPr>
      <w:r>
        <w:rPr>
          <w:b/>
          <w:bCs/>
        </w:rPr>
        <w:t xml:space="preserve">Roberto Vilchis Meza</w:t>
      </w:r>
      <w:r>
        <w:br/>
      </w:r>
      <w:r>
        <w:t xml:space="preserve">Investigador Independiente de Seguridad</w:t>
      </w:r>
      <w:r>
        <w:br/>
      </w:r>
      <w:r>
        <w:t xml:space="preserve">vilchismezaroberto@gmail.com</w:t>
      </w:r>
    </w:p>
    <w:p>
      <w:pPr>
        <w:pStyle w:val="BodyText"/>
      </w:pPr>
      <w:r>
        <w:rPr>
          <w:b/>
          <w:bCs/>
        </w:rPr>
        <w:t xml:space="preserve">Enviado a</w:t>
      </w:r>
      <w:r>
        <w:t xml:space="preserve">: Conferencia Anual FIRST 2026</w:t>
      </w:r>
      <w:r>
        <w:br/>
      </w:r>
      <w:r>
        <w:rPr>
          <w:b/>
          <w:bCs/>
        </w:rPr>
        <w:t xml:space="preserve">Track</w:t>
      </w:r>
      <w:r>
        <w:t xml:space="preserve">: Inteligencia de Amenazas y Respuesta a Incidentes</w:t>
      </w:r>
      <w:r>
        <w:br/>
      </w:r>
      <w:r>
        <w:rPr>
          <w:b/>
          <w:bCs/>
        </w:rPr>
        <w:t xml:space="preserve">Fecha</w:t>
      </w:r>
      <w:r>
        <w:t xml:space="preserve">: Junio 2026</w:t>
      </w:r>
    </w:p>
    <w:p>
      <w:r>
        <w:pict>
          <v:rect style="width:0;height:1.5pt" o:hralign="center" o:hrstd="t" o:hr="t"/>
        </w:pict>
      </w:r>
    </w:p>
    <w:bookmarkStart w:id="9" w:name="resumen"/>
    <w:p>
      <w:pPr>
        <w:pStyle w:val="Heading2"/>
      </w:pPr>
      <w:r>
        <w:t xml:space="preserve">Resumen</w:t>
      </w:r>
    </w:p>
    <w:p>
      <w:pPr>
        <w:pStyle w:val="FirstParagraph"/>
      </w:pPr>
      <w:r>
        <w:t xml:space="preserve">Las investigaciones de forense digital exigen cada vez más el análisis rápido de grandes corpus de evidencia heterogénea — registros de eventos de Windows, snapshots de procesos, capturas de red, exportaciones de registro — bajo condiciones que prohíben la transmisión de datos sensibles a servicios en la nube. Presentamos</w:t>
      </w:r>
      <w:r>
        <w:t xml:space="preserve"> </w:t>
      </w:r>
      <w:r>
        <w:rPr>
          <w:b/>
          <w:bCs/>
        </w:rPr>
        <w:t xml:space="preserve">Nexus</w:t>
      </w:r>
      <w:r>
        <w:t xml:space="preserve">, una plataforma de código abierto que permite consultar evidencia forense en lenguaje natural usando un modelo de lenguaje grande (LLM) local, sin dependencias externas. Nexus traduce preguntas de analistas a consultas SQLite precisas mediante un pipeline few-shot aumentado con BM25, validado por un detector de alucinaciones de tres capas con autocorrección automática. En un benchmark de 25 preguntas forenses en 10 categorías, Nexus logra</w:t>
      </w:r>
      <w:r>
        <w:t xml:space="preserve"> </w:t>
      </w:r>
      <w:r>
        <w:rPr>
          <w:b/>
          <w:bCs/>
        </w:rPr>
        <w:t xml:space="preserve">100% de tasa de éxito, 0% de tasa de alucinación y 100% de tasa de autocorrección</w:t>
      </w:r>
      <w:r>
        <w:t xml:space="preserve"> </w:t>
      </w:r>
      <w:r>
        <w:t xml:space="preserve">usando</w:t>
      </w:r>
      <w:r>
        <w:t xml:space="preserve"> </w:t>
      </w:r>
      <w:r>
        <w:rPr>
          <w:rStyle w:val="VerbatimChar"/>
        </w:rPr>
        <w:t xml:space="preserve">qwen2.5:7b-instruct</w:t>
      </w:r>
      <w:r>
        <w:t xml:space="preserve"> </w:t>
      </w:r>
      <w:r>
        <w:t xml:space="preserve">en hardware sin GPU. Presentamos además el</w:t>
      </w:r>
      <w:r>
        <w:t xml:space="preserve"> </w:t>
      </w:r>
      <w:r>
        <w:rPr>
          <w:b/>
          <w:bCs/>
        </w:rPr>
        <w:t xml:space="preserve">Evidence Interrogation Loop (EIL)</w:t>
      </w:r>
      <w:r>
        <w:t xml:space="preserve">, un agente ReAct que construye cadenas de ataque de forma autónoma a partir de evidencia en bruto sin intervención del analista. Todos los componentes operan completamente air-gapped en una laptop estándar.</w:t>
      </w:r>
    </w:p>
    <w:p>
      <w:r>
        <w:pict>
          <v:rect style="width:0;height:1.5pt" o:hralign="center" o:hrstd="t" o:hr="t"/>
        </w:pict>
      </w:r>
    </w:p>
    <w:bookmarkEnd w:id="9"/>
    <w:bookmarkStart w:id="11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Los respondedores de incidentes enfrentan un problema estructural: el volumen de evidencia forense crece más rápido que la capacidad del analista. Un solo endpoint Windows genera decenas de miles de entradas en el Event Log por día; un incidente de ransomware puede involucrar docenas de sistemas y millones de eventos. Los enfoques existentes se dividen en dos categorías:</w:t>
      </w:r>
    </w:p>
    <w:p>
      <w:pPr>
        <w:pStyle w:val="BodyText"/>
      </w:pPr>
      <w:r>
        <w:rPr>
          <w:b/>
          <w:bCs/>
        </w:rPr>
        <w:t xml:space="preserve">Análisis manual SQL/grep</w:t>
      </w:r>
      <w:r>
        <w:t xml:space="preserve">: requiere conocimiento profundo del esquema y produce consultas frágiles y no reutilizables. Un analista junior no puede formular fácilmente</w:t>
      </w:r>
      <w:r>
        <w:t xml:space="preserve"> </w:t>
      </w:r>
      <w:r>
        <w:rPr>
          <w:rStyle w:val="VerbatimChar"/>
        </w:rPr>
        <w:t xml:space="preserve">SELECT username, source_ip FROM events WHERE event_id = 4625 GROUP BY username, source_ip ORDER BY COUNT(*) DESC</w:t>
      </w:r>
      <w:r>
        <w:t xml:space="preserve"> </w:t>
      </w:r>
      <w:r>
        <w:t xml:space="preserve">a partir de una pregunta en lenguaje natural.</w:t>
      </w:r>
    </w:p>
    <w:p>
      <w:pPr>
        <w:pStyle w:val="BodyText"/>
      </w:pPr>
      <w:r>
        <w:rPr>
          <w:b/>
          <w:bCs/>
        </w:rPr>
        <w:t xml:space="preserve">Asistentes de IA en la nube</w:t>
      </w:r>
      <w:r>
        <w:t xml:space="preserve"> </w:t>
      </w:r>
      <w:r>
        <w:t xml:space="preserve">(ChatGPT, Copilot, Gemini): pueden generar SQL desde lenguaje natural, pero requieren transmitir la evidencia forense a servidores externos — práctica prohibida por restricciones legales, regulatorias y de seguridad operacional en la mayoría de los compromisos reales de respuesta a incidentes.</w:t>
      </w:r>
    </w:p>
    <w:p>
      <w:pPr>
        <w:pStyle w:val="BodyText"/>
      </w:pPr>
      <w:r>
        <w:t xml:space="preserve">Nexus resuelve ambos problemas: acepta preguntas en español o inglés, genera consultas SQLite verificadas y las ejecuta contra una base de datos local — completamente sin conexión, sin llamadas de red más allá del servidor de inferencia Ollama local.</w:t>
      </w:r>
    </w:p>
    <w:bookmarkStart w:id="10" w:name="contribuciones"/>
    <w:p>
      <w:pPr>
        <w:pStyle w:val="Heading3"/>
      </w:pPr>
      <w:r>
        <w:t xml:space="preserve">1.1 Contribuciones</w:t>
      </w:r>
    </w:p>
    <w:p>
      <w:pPr>
        <w:pStyle w:val="Compact"/>
        <w:numPr>
          <w:ilvl w:val="0"/>
          <w:numId w:val="100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pipeline NL→SQL</w:t>
      </w:r>
      <w:r>
        <w:t xml:space="preserve"> </w:t>
      </w:r>
      <w:r>
        <w:t xml:space="preserve">con recuperación few-shot BM25 optimizado para esquemas de artefactos forenses</w:t>
      </w:r>
    </w:p>
    <w:p>
      <w:pPr>
        <w:pStyle w:val="Compact"/>
        <w:numPr>
          <w:ilvl w:val="0"/>
          <w:numId w:val="100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validador de alucinaciones de tres capas</w:t>
      </w:r>
      <w:r>
        <w:t xml:space="preserve"> </w:t>
      </w:r>
      <w:r>
        <w:t xml:space="preserve">(estructural, referencial, sintáctico) con reintentos automáticos</w:t>
      </w:r>
    </w:p>
    <w:p>
      <w:pPr>
        <w:pStyle w:val="Compact"/>
        <w:numPr>
          <w:ilvl w:val="0"/>
          <w:numId w:val="100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suite de benchmark</w:t>
      </w:r>
      <w:r>
        <w:t xml:space="preserve"> </w:t>
      </w:r>
      <w:r>
        <w:t xml:space="preserve">de 25 preguntas forenses con SQL de referencia y métricas reproducibles</w:t>
      </w:r>
    </w:p>
    <w:p>
      <w:pPr>
        <w:pStyle w:val="Compact"/>
        <w:numPr>
          <w:ilvl w:val="0"/>
          <w:numId w:val="100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agente ReAct EIL</w:t>
      </w:r>
      <w:r>
        <w:t xml:space="preserve"> </w:t>
      </w:r>
      <w:r>
        <w:t xml:space="preserve">que investiga casos de forma autónoma usando llamadas a herramientas</w:t>
      </w:r>
    </w:p>
    <w:p>
      <w:pPr>
        <w:pStyle w:val="Compact"/>
        <w:numPr>
          <w:ilvl w:val="0"/>
          <w:numId w:val="1001"/>
        </w:numPr>
      </w:pPr>
      <w:r>
        <w:t xml:space="preserve">Evaluación sobre</w:t>
      </w:r>
      <w:r>
        <w:t xml:space="preserve"> </w:t>
      </w:r>
      <w:r>
        <w:rPr>
          <w:b/>
          <w:bCs/>
        </w:rPr>
        <w:t xml:space="preserve">27 casos forenses reales</w:t>
      </w:r>
      <w:r>
        <w:t xml:space="preserve"> </w:t>
      </w:r>
      <w:r>
        <w:t xml:space="preserve">que abarcan ransomware LockBit, campañas APT, ejercicios red team e intrusiones RDP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planteamiento-del-problema"/>
    <w:p>
      <w:pPr>
        <w:pStyle w:val="Heading2"/>
      </w:pPr>
      <w:r>
        <w:t xml:space="preserve">2. Planteamiento del Problema</w:t>
      </w:r>
    </w:p>
    <w:bookmarkStart w:id="12" w:name="el-esquema-de-evidencia-forense"/>
    <w:p>
      <w:pPr>
        <w:pStyle w:val="Heading3"/>
      </w:pPr>
      <w:r>
        <w:t xml:space="preserve">2.1 El Esquema de Evidencia Forense</w:t>
      </w:r>
    </w:p>
    <w:p>
      <w:pPr>
        <w:pStyle w:val="FirstParagraph"/>
      </w:pPr>
      <w:r>
        <w:t xml:space="preserve">Nexus normaliza artefactos forenses heterogéneos en un esquema SQLite unificado:</w:t>
      </w:r>
    </w:p>
    <w:p>
      <w:pPr>
        <w:pStyle w:val="SourceCode"/>
      </w:pPr>
      <w:r>
        <w:rPr>
          <w:rStyle w:val="VerbatimChar"/>
        </w:rPr>
        <w:t xml:space="preserve">events              ← Registros de eventos Windows (EVTX)</w:t>
      </w:r>
      <w:r>
        <w:br/>
      </w:r>
      <w:r>
        <w:rPr>
          <w:rStyle w:val="VerbatimChar"/>
        </w:rPr>
        <w:t xml:space="preserve">processes           ← Snapshots de procesos (tasklist, WMIC)</w:t>
      </w:r>
      <w:r>
        <w:br/>
      </w:r>
      <w:r>
        <w:rPr>
          <w:rStyle w:val="VerbatimChar"/>
        </w:rPr>
        <w:t xml:space="preserve">network_connections ← Estado de red (netstat)</w:t>
      </w:r>
      <w:r>
        <w:br/>
      </w:r>
      <w:r>
        <w:rPr>
          <w:rStyle w:val="VerbatimChar"/>
        </w:rPr>
        <w:t xml:space="preserve">scheduled_tasks     ← Persistencia (schtasks CSV)</w:t>
      </w:r>
      <w:r>
        <w:br/>
      </w:r>
      <w:r>
        <w:rPr>
          <w:rStyle w:val="VerbatimChar"/>
        </w:rPr>
        <w:t xml:space="preserve">registry_keys       ← Exportaciones de registro de autorun</w:t>
      </w:r>
      <w:r>
        <w:br/>
      </w:r>
      <w:r>
        <w:rPr>
          <w:rStyle w:val="VerbatimChar"/>
        </w:rPr>
        <w:t xml:space="preserve">system_info         ← Metadatos del sistema (systeminfo)</w:t>
      </w:r>
      <w:r>
        <w:br/>
      </w:r>
      <w:r>
        <w:rPr>
          <w:rStyle w:val="VerbatimChar"/>
        </w:rPr>
        <w:t xml:space="preserve">evidence_files      ← Manifiesto de ingestión</w:t>
      </w:r>
    </w:p>
    <w:p>
      <w:pPr>
        <w:pStyle w:val="FirstParagraph"/>
      </w:pPr>
      <w:r>
        <w:t xml:space="preserve">Esta normalización permite consultas JOIN entre artefactos que son imposibles cuando los artefactos se almacenan como archivos planos.</w:t>
      </w:r>
    </w:p>
    <w:bookmarkEnd w:id="12"/>
    <w:bookmarkStart w:id="13" w:name="por-qué-nlsql-y-no-rag"/>
    <w:p>
      <w:pPr>
        <w:pStyle w:val="Heading3"/>
      </w:pPr>
      <w:r>
        <w:t xml:space="preserve">2.2 Por Qué NL→SQL y No RAG</w:t>
      </w:r>
    </w:p>
    <w:p>
      <w:pPr>
        <w:pStyle w:val="FirstParagraph"/>
      </w:pPr>
      <w:r>
        <w:t xml:space="preserve">La Generación Aumentada por Recuperación (RAG) es el enfoque dominante para el análisis de documentos con LLM. Sin embargo, los artefactos forenses no son documentos — son registros estructurados. RAG sobre evidencia forense tiene limitaciones fundamentales: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t xml:space="preserve">NL→SQL (Nexus)</w:t>
            </w:r>
          </w:p>
        </w:tc>
        <w:tc>
          <w:tcPr/>
          <w:p>
            <w:pPr>
              <w:pStyle w:val="Compact"/>
            </w:pPr>
            <w:r>
              <w:t xml:space="preserve">RAG (embeddings)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Precisión</w:t>
            </w:r>
          </w:p>
        </w:tc>
        <w:tc>
          <w:tcPr/>
          <w:p>
            <w:pPr>
              <w:pStyle w:val="Compact"/>
            </w:pPr>
            <w:r>
              <w:t xml:space="preserve">Exacta — devuelve solo lo que selecciona SQL</w:t>
            </w:r>
          </w:p>
        </w:tc>
        <w:tc>
          <w:tcPr/>
          <w:p>
            <w:pPr>
              <w:pStyle w:val="Compact"/>
            </w:pPr>
            <w:r>
              <w:t xml:space="preserve">Aproximada — los límites de chunk fragmentan la evidencia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Agregación</w:t>
            </w:r>
          </w:p>
        </w:tc>
        <w:tc>
          <w:tcPr/>
          <w:p>
            <w:pPr>
              <w:pStyle w:val="Compact"/>
            </w:pPr>
            <w:r>
              <w:t xml:space="preserve">Nativa (COUNT, GROUP BY, HAVING)</w:t>
            </w:r>
          </w:p>
        </w:tc>
        <w:tc>
          <w:tcPr/>
          <w:p>
            <w:pPr>
              <w:pStyle w:val="Compact"/>
            </w:pPr>
            <w:r>
              <w:t xml:space="preserve">Requiere post-procesamiento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Joins entre artefactos</w:t>
            </w:r>
          </w:p>
        </w:tc>
        <w:tc>
          <w:tcPr/>
          <w:p>
            <w:pPr>
              <w:pStyle w:val="Compact"/>
            </w:pPr>
            <w:r>
              <w:t xml:space="preserve">SQL JOIN sobre todas las tablas</w:t>
            </w:r>
          </w:p>
        </w:tc>
        <w:tc>
          <w:tcPr/>
          <w:p>
            <w:pPr>
              <w:pStyle w:val="Compact"/>
            </w:pPr>
            <w:r>
              <w:t xml:space="preserve">Difícil — los chunks rara vez co-ubican artefactos relacionados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Despliegue air-gap</w:t>
            </w:r>
          </w:p>
        </w:tc>
        <w:tc>
          <w:tcPr/>
          <w:p>
            <w:pPr>
              <w:pStyle w:val="Compact"/>
            </w:pPr>
            <w:r>
              <w:t xml:space="preserve">SQLite + Ollama — cero dependencias externas</w:t>
            </w:r>
          </w:p>
        </w:tc>
        <w:tc>
          <w:tcPr/>
          <w:p>
            <w:pPr>
              <w:pStyle w:val="Compact"/>
            </w:pPr>
            <w:r>
              <w:t xml:space="preserve">Requiere BD vectorial o modelo de embeddings 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Superficie de alucinación</w:t>
            </w:r>
          </w:p>
        </w:tc>
        <w:tc>
          <w:tcPr/>
          <w:p>
            <w:pPr>
              <w:pStyle w:val="Compact"/>
            </w:pPr>
            <w:r>
              <w:t xml:space="preserve">Sintaxis SQL — detectable y corregible</w:t>
            </w:r>
          </w:p>
        </w:tc>
        <w:tc>
          <w:tcPr/>
          <w:p>
            <w:pPr>
              <w:pStyle w:val="Compact"/>
            </w:pPr>
            <w:r>
              <w:t xml:space="preserve">Semántica — más difícil de validar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Latencia (CPU)</w:t>
            </w:r>
          </w:p>
        </w:tc>
        <w:tc>
          <w:tcPr/>
          <w:p>
            <w:pPr>
              <w:pStyle w:val="Compact"/>
            </w:pPr>
            <w:r>
              <w:t xml:space="preserve">65–135s/consulta (cuello de botella LLM)</w:t>
            </w:r>
          </w:p>
        </w:tc>
        <w:tc>
          <w:tcPr/>
          <w:p>
            <w:pPr>
              <w:pStyle w:val="Compact"/>
            </w:pPr>
            <w:r>
              <w:t xml:space="preserve">5–30s/consulta</w:t>
            </w:r>
          </w:p>
        </w:tc>
      </w:tr>
    </w:tbl>
    <w:p>
      <w:pPr>
        <w:pStyle w:val="BodyText"/>
      </w:pPr>
      <w:r>
        <w:rPr>
          <w:b/>
          <w:bCs/>
        </w:rPr>
        <w:t xml:space="preserve">Veredicto</w:t>
      </w:r>
      <w:r>
        <w:t xml:space="preserve">: NL→SQL es estrictamente superior para artefactos forenses estructurados. RAG es apropiado para evidencia no estructurada (correos, PDFs, registros de chat).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arquitectura"/>
    <w:p>
      <w:pPr>
        <w:pStyle w:val="Heading2"/>
      </w:pPr>
      <w:r>
        <w:t xml:space="preserve">3. Arquitectura</w:t>
      </w:r>
    </w:p>
    <w:bookmarkStart w:id="15" w:name="visión-general-del-pipeline"/>
    <w:p>
      <w:pPr>
        <w:pStyle w:val="Heading3"/>
      </w:pPr>
      <w:r>
        <w:t xml:space="preserve">3.1 Visión General del Pipeline</w:t>
      </w:r>
    </w:p>
    <w:p>
      <w:pPr>
        <w:pStyle w:val="SourceCode"/>
      </w:pPr>
      <w:r>
        <w:rPr>
          <w:rStyle w:val="VerbatimChar"/>
        </w:rPr>
        <w:t xml:space="preserve">Pregunta en lenguaje natural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[Recuperación BM25]</w:t>
      </w:r>
      <w:r>
        <w:br/>
      </w:r>
      <w:r>
        <w:rPr>
          <w:rStyle w:val="VerbatimChar"/>
        </w:rPr>
        <w:t xml:space="preserve">    Vector store (388 ítems por caso)</w:t>
      </w:r>
      <w:r>
        <w:br/>
      </w:r>
      <w:r>
        <w:rPr>
          <w:rStyle w:val="VerbatimChar"/>
        </w:rPr>
        <w:t xml:space="preserve">    DDL + TABLE_DOCS + pares P-SQL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[LLM — qwen2.5:7b-instruct]</w:t>
      </w:r>
      <w:r>
        <w:br/>
      </w:r>
      <w:r>
        <w:rPr>
          <w:rStyle w:val="VerbatimChar"/>
        </w:rPr>
        <w:t xml:space="preserve">    Inferencia local Ollama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[Borrador SQL]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[Validador 3 Capas]</w:t>
      </w:r>
      <w:r>
        <w:br/>
      </w:r>
      <w:r>
        <w:rPr>
          <w:rStyle w:val="VerbatimChar"/>
        </w:rPr>
        <w:t xml:space="preserve">    ┌────────────────────────┐</w:t>
      </w:r>
      <w:r>
        <w:br/>
      </w:r>
      <w:r>
        <w:rPr>
          <w:rStyle w:val="VerbatimChar"/>
        </w:rPr>
        <w:t xml:space="preserve">    │ Capa 1: Estructural    │ → ¿tabla/columna desconocida?</w:t>
      </w:r>
      <w:r>
        <w:br/>
      </w:r>
      <w:r>
        <w:rPr>
          <w:rStyle w:val="VerbatimChar"/>
        </w:rPr>
        <w:t xml:space="preserve">    │ Capa 2: Referencial    │ → ¿event_id no existe en esta BD?</w:t>
      </w:r>
      <w:r>
        <w:br/>
      </w:r>
      <w:r>
        <w:rPr>
          <w:rStyle w:val="VerbatimChar"/>
        </w:rPr>
        <w:t xml:space="preserve">    │ Capa 3: Sintáctico     │ → EXPLAIN QUERY PLAN</w:t>
      </w:r>
      <w:r>
        <w:br/>
      </w:r>
      <w:r>
        <w:rPr>
          <w:rStyle w:val="VerbatimChar"/>
        </w:rPr>
        <w:t xml:space="preserve">    └────────────────────────┘</w:t>
      </w:r>
      <w:r>
        <w:br/>
      </w:r>
      <w:r>
        <w:rPr>
          <w:rStyle w:val="VerbatimChar"/>
        </w:rPr>
        <w:t xml:space="preserve">         │ fallo → reintento con error inyectado en el prompt</w:t>
      </w:r>
      <w:r>
        <w:br/>
      </w:r>
      <w:r>
        <w:rPr>
          <w:rStyle w:val="VerbatimChar"/>
        </w:rPr>
        <w:t xml:space="preserve">         │ éxito</w:t>
      </w:r>
      <w:r>
        <w:br/>
      </w:r>
      <w:r>
        <w:rPr>
          <w:rStyle w:val="VerbatimChar"/>
        </w:rPr>
        <w:t xml:space="preserve">    [Ejecución SQLite]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DataFrame de resultados</w:t>
      </w:r>
    </w:p>
    <w:bookmarkEnd w:id="15"/>
    <w:bookmarkStart w:id="16" w:name="vector-store-bm25"/>
    <w:p>
      <w:pPr>
        <w:pStyle w:val="Heading3"/>
      </w:pPr>
      <w:r>
        <w:t xml:space="preserve">3.2 Vector Store BM25</w:t>
      </w:r>
    </w:p>
    <w:p>
      <w:pPr>
        <w:pStyle w:val="FirstParagraph"/>
      </w:pPr>
      <w:r>
        <w:t xml:space="preserve">Cada caso tiene un vector store dedicado construido en tres capas: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DDL (esquema)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Definiciones de tablas con nombres y tipos de columna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TABLE_DOCS</w:t>
            </w:r>
          </w:p>
        </w:tc>
        <w:tc>
          <w:tcPr/>
          <w:p>
            <w:pPr>
              <w:pStyle w:val="Compact"/>
            </w:pPr>
            <w:r>
              <w:t xml:space="preserve">25+</w:t>
            </w:r>
          </w:p>
        </w:tc>
        <w:tc>
          <w:tcPr/>
          <w:p>
            <w:pPr>
              <w:pStyle w:val="Compact"/>
            </w:pPr>
            <w:r>
              <w:t xml:space="preserve">Mapeo de event IDs, semántica de columnas, advertencias críticas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Pares P-SQL</w:t>
            </w:r>
          </w:p>
        </w:tc>
        <w:tc>
          <w:tcPr/>
          <w:p>
            <w:pPr>
              <w:pStyle w:val="Compact"/>
            </w:pPr>
            <w:r>
              <w:t xml:space="preserve">144+</w:t>
            </w:r>
          </w:p>
        </w:tc>
        <w:tc>
          <w:tcPr/>
          <w:p>
            <w:pPr>
              <w:pStyle w:val="Compact"/>
            </w:pPr>
            <w:r>
              <w:t xml:space="preserve">Pregunta → SQL de ejemplo, todas las categorías forenses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~388</w:t>
            </w:r>
          </w:p>
        </w:tc>
        <w:tc>
          <w:tcPr/>
          <w:p>
            <w:pPr>
              <w:pStyle w:val="Compact"/>
            </w:pPr>
            <w:r>
              <w:t xml:space="preserve">Por caso (varía según las tablas activas)</w:t>
            </w:r>
          </w:p>
        </w:tc>
      </w:tr>
    </w:tbl>
    <w:p>
      <w:pPr>
        <w:pStyle w:val="BodyText"/>
      </w:pPr>
      <w:r>
        <w:t xml:space="preserve">En tiempo de consulta, BM25 recupera los 3 pares P-SQL más similares como ejemplos few-shot. No se necesita modelo de embeddings — BM25 sobre SQLite es Python puro sin dependencias externas.</w:t>
      </w:r>
    </w:p>
    <w:bookmarkEnd w:id="16"/>
    <w:bookmarkStart w:id="17" w:name="validador-de-alucinaciones-de-tres-capas"/>
    <w:p>
      <w:pPr>
        <w:pStyle w:val="Heading3"/>
      </w:pPr>
      <w:r>
        <w:t xml:space="preserve">3.3 Validador de Alucinaciones de Tres Capas</w:t>
      </w:r>
    </w:p>
    <w:p>
      <w:pPr>
        <w:pStyle w:val="FirstParagraph"/>
      </w:pPr>
      <w:r>
        <w:t xml:space="preserve">Los LLM que generan SQL para bases de datos forenses exhiben tres modos de fallo:</w:t>
      </w:r>
    </w:p>
    <w:p>
      <w:pPr>
        <w:pStyle w:val="BodyText"/>
      </w:pPr>
      <w:r>
        <w:rPr>
          <w:b/>
          <w:bCs/>
        </w:rPr>
        <w:t xml:space="preserve">Alucinación estructural</w:t>
      </w:r>
      <w:r>
        <w:t xml:space="preserve">: El modelo referencia una columna o tabla que no existe en el esquema (ej.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computer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). Se detecta comparando el AST del SQL contra el esquema real.</w:t>
      </w:r>
    </w:p>
    <w:p>
      <w:pPr>
        <w:pStyle w:val="BodyText"/>
      </w:pPr>
      <w:r>
        <w:rPr>
          <w:b/>
          <w:bCs/>
        </w:rPr>
        <w:t xml:space="preserve">Alucinación referencial</w:t>
      </w:r>
      <w:r>
        <w:t xml:space="preserve">: El modelo usa un valor de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que no existe en la base de datos de este caso específico (ej. usar</w:t>
      </w:r>
      <w:r>
        <w:t xml:space="preserve"> </w:t>
      </w:r>
      <w:r>
        <w:rPr>
          <w:rStyle w:val="VerbatimChar"/>
        </w:rPr>
        <w:t xml:space="preserve">event_id = 4688</w:t>
      </w:r>
      <w:r>
        <w:t xml:space="preserve"> </w:t>
      </w:r>
      <w:r>
        <w:t xml:space="preserve">en una BD que solo contiene eventos Sysmon). Se detecta consultando la distribución real de event_ids.</w:t>
      </w:r>
    </w:p>
    <w:p>
      <w:pPr>
        <w:pStyle w:val="BodyText"/>
      </w:pPr>
      <w:r>
        <w:rPr>
          <w:b/>
          <w:bCs/>
        </w:rPr>
        <w:t xml:space="preserve">Alucinación sintáctica</w:t>
      </w:r>
      <w:r>
        <w:t xml:space="preserve">: El SQL es estructuralmente malformado y crashearía SQLite (ej.</w:t>
      </w:r>
      <w:r>
        <w:t xml:space="preserve"> </w:t>
      </w:r>
      <w:r>
        <w:rPr>
          <w:rStyle w:val="VerbatimChar"/>
        </w:rPr>
        <w:t xml:space="preserve">column NOT LIKE 'x' AND NOT LIKE 'y'</w:t>
      </w:r>
      <w:r>
        <w:t xml:space="preserve"> </w:t>
      </w:r>
      <w:r>
        <w:t xml:space="preserve">— sin repetición de columna). Se detecta ejecutando</w:t>
      </w:r>
      <w:r>
        <w:t xml:space="preserve"> </w:t>
      </w:r>
      <w:r>
        <w:rPr>
          <w:rStyle w:val="VerbatimChar"/>
        </w:rPr>
        <w:t xml:space="preserve">EXPLAIN QUERY PLAN</w:t>
      </w:r>
      <w:r>
        <w:t xml:space="preserve">.</w:t>
      </w:r>
    </w:p>
    <w:p>
      <w:pPr>
        <w:pStyle w:val="BodyText"/>
      </w:pPr>
      <w:r>
        <w:t xml:space="preserve">Cuando se detecta una alucinación, la descripción del error se inyecta en el prompt y el LLM reintenta. En R8, el 100% de las alucinaciones detectadas se corrigieron automáticamente en el primer reintento.</w:t>
      </w:r>
    </w:p>
    <w:bookmarkEnd w:id="17"/>
    <w:bookmarkStart w:id="18" w:name="router-de-intención"/>
    <w:p>
      <w:pPr>
        <w:pStyle w:val="Heading3"/>
      </w:pPr>
      <w:r>
        <w:t xml:space="preserve">3.4 Router de Intención</w:t>
      </w:r>
    </w:p>
    <w:p>
      <w:pPr>
        <w:pStyle w:val="FirstParagraph"/>
      </w:pPr>
      <w:r>
        <w:t xml:space="preserve">No todas las preguntas requieren NL→SQL. El router clasifica la intención sin usar un LLM:</w:t>
      </w:r>
    </w:p>
    <w:p>
      <w:pPr>
        <w:pStyle w:val="SourceCode"/>
      </w:pPr>
      <w:r>
        <w:rPr>
          <w:rStyle w:val="VerbatimChar"/>
        </w:rPr>
        <w:t xml:space="preserve">threat_hunt  ← regex: "malware", "sospechoso", "ataque", "hunt", "amenaza"</w:t>
      </w:r>
      <w:r>
        <w:br/>
      </w:r>
      <w:r>
        <w:rPr>
          <w:rStyle w:val="VerbatimChar"/>
        </w:rPr>
        <w:t xml:space="preserve">ioc          ← regex: patrones IP/dominio/hash</w:t>
      </w:r>
      <w:r>
        <w:br/>
      </w:r>
      <w:r>
        <w:rPr>
          <w:rStyle w:val="VerbatimChar"/>
        </w:rPr>
        <w:t xml:space="preserve">sql          ← default (todo lo demás)</w:t>
      </w:r>
    </w:p>
    <w:p>
      <w:pPr>
        <w:pStyle w:val="FirstParagraph"/>
      </w:pPr>
      <w:r>
        <w:t xml:space="preserve">La caza de amenazas aplica 11 reglas MITRE ATT&amp;CK hardcodeadas directamente sobre la base de datos — instantáneo, sin llamada al LLM. Precisión de enrutamiento: 24/24 (100%) en conjunto de prueba.</w:t>
      </w:r>
    </w:p>
    <w:bookmarkEnd w:id="18"/>
    <w:bookmarkStart w:id="19" w:name="eil-evidence-interrogation-loop"/>
    <w:p>
      <w:pPr>
        <w:pStyle w:val="Heading3"/>
      </w:pPr>
      <w:r>
        <w:t xml:space="preserve">3.5 EIL — Evidence Interrogation Loop</w:t>
      </w:r>
    </w:p>
    <w:p>
      <w:pPr>
        <w:pStyle w:val="FirstParagraph"/>
      </w:pPr>
      <w:r>
        <w:t xml:space="preserve">El EIL es un agente ReAct que investiga un caso de forma autónoma dado un objetivo de alto nivel: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investigate lockbit_ir </w:t>
      </w:r>
      <w:r>
        <w:rPr>
          <w:rStyle w:val="StringTok"/>
        </w:rPr>
        <w:t xml:space="preserve">"¿Cómo entró el atacante?"</w:t>
      </w:r>
    </w:p>
    <w:p>
      <w:pPr>
        <w:pStyle w:val="FirstParagraph"/>
      </w:pPr>
      <w:r>
        <w:rPr>
          <w:b/>
          <w:bCs/>
        </w:rPr>
        <w:t xml:space="preserve">Herramientas disponibles para el agente: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threat_hunt()</w:t>
      </w:r>
      <w:r>
        <w:t xml:space="preserve"> </w:t>
      </w:r>
      <w:r>
        <w:t xml:space="preserve">— detección MITRE ATT&amp;CK (siempre primero)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pivot_user(usuario)</w:t>
      </w:r>
      <w:r>
        <w:t xml:space="preserve"> </w:t>
      </w:r>
      <w:r>
        <w:t xml:space="preserve">— toda la actividad de un usuario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pivot_ip(ip)</w:t>
      </w:r>
      <w:r>
        <w:t xml:space="preserve"> </w:t>
      </w:r>
      <w:r>
        <w:t xml:space="preserve">— todos los eventos de una IP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pivot_process(nombre)</w:t>
      </w:r>
      <w:r>
        <w:t xml:space="preserve"> </w:t>
      </w:r>
      <w:r>
        <w:t xml:space="preserve">— todos los eventos de un proceso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sql_query(pregunta)</w:t>
      </w:r>
      <w:r>
        <w:t xml:space="preserve"> </w:t>
      </w:r>
      <w:r>
        <w:t xml:space="preserve">— NL→SQL para consultas arbitrarias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done(narrativa)</w:t>
      </w:r>
      <w:r>
        <w:t xml:space="preserve"> </w:t>
      </w:r>
      <w:r>
        <w:t xml:space="preserve">— concluir con resumen del incidente</w:t>
      </w:r>
    </w:p>
    <w:p>
      <w:pPr>
        <w:pStyle w:val="BodyText"/>
      </w:pPr>
      <w:r>
        <w:rPr>
          <w:b/>
          <w:bCs/>
        </w:rPr>
        <w:t xml:space="preserve">Mecánica del loop</w:t>
      </w:r>
      <w:r>
        <w:t xml:space="preserve">: El agente recibe los datos reales del caso (usuarios principales, IPs, event IDs) como contexto antes del primer paso, previniendo valores de pivote alucinados. Una ventana de contexto deslizante (últimos 6 turnos) previene el desbordamiento de tokens. La detección de loops redirige llamadas repetidas a herramientas. El paso final fuerza una llamada</w:t>
      </w:r>
      <w:r>
        <w:t xml:space="preserve"> </w:t>
      </w:r>
      <w:r>
        <w:rPr>
          <w:rStyle w:val="VerbatimChar"/>
        </w:rPr>
        <w:t xml:space="preserve">done()</w:t>
      </w:r>
      <w:r>
        <w:t xml:space="preserve"> </w:t>
      </w:r>
      <w:r>
        <w:t xml:space="preserve">si el agente no ha concluido.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evaluación"/>
    <w:p>
      <w:pPr>
        <w:pStyle w:val="Heading2"/>
      </w:pPr>
      <w:r>
        <w:t xml:space="preserve">4. Evaluación</w:t>
      </w:r>
    </w:p>
    <w:bookmarkStart w:id="21" w:name="suite-de-benchmark"/>
    <w:p>
      <w:pPr>
        <w:pStyle w:val="Heading3"/>
      </w:pPr>
      <w:r>
        <w:t xml:space="preserve">4.1 Suite de Benchmark</w:t>
      </w:r>
    </w:p>
    <w:p>
      <w:pPr>
        <w:pStyle w:val="FirstParagraph"/>
      </w:pPr>
      <w:r>
        <w:t xml:space="preserve">25 preguntas en 10 categorías forenses, con SQL de referencia construido manualmente: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Preguntas</w:t>
            </w:r>
          </w:p>
        </w:tc>
        <w:tc>
          <w:tcPr/>
          <w:p>
            <w:pPr>
              <w:pStyle w:val="Compact"/>
            </w:pPr>
            <w:r>
              <w:t xml:space="preserve">Cobertura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Enumeración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Usuarios, equipos, conteos de eventos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Línea de tiempo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Rangos de fecha, orden cronológico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Conexiones, IPs externas, sesiones activas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Anomalía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Actividad fuera de horario, rutas sospechosas, fuerza bruta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Persistencia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Tareas programadas, autoruns de registro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Procesos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Procesos SYSTEM, análisis de PID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Actividad de usuario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Patrones de logon, acceso nocturno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Cruce de tablas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JOIN: procesos + conexiones de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Atribución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Proceso con más conexiones externas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Resumen del manifiesto de evidencia</w:t>
            </w:r>
          </w:p>
        </w:tc>
      </w:tr>
    </w:tbl>
    <w:bookmarkEnd w:id="21"/>
    <w:bookmarkStart w:id="22" w:name="métricas"/>
    <w:p>
      <w:pPr>
        <w:pStyle w:val="Heading3"/>
      </w:pPr>
      <w:r>
        <w:t xml:space="preserve">4.2 Métricas</w:t>
      </w:r>
    </w:p>
    <w:p>
      <w:pPr>
        <w:pStyle w:val="FirstParagraph"/>
      </w:pPr>
      <w:r>
        <w:rPr>
          <w:b/>
          <w:bCs/>
        </w:rPr>
        <w:t xml:space="preserve">Score</w:t>
      </w:r>
      <w:r>
        <w:t xml:space="preserve">: Tasa de éxito — SQL ejecuta, usa tablas y columnas correctas, devuelve rango de filas esperado.</w:t>
      </w:r>
    </w:p>
    <w:p>
      <w:pPr>
        <w:pStyle w:val="BodyText"/>
      </w:pPr>
      <w:r>
        <w:rPr>
          <w:b/>
          <w:bCs/>
        </w:rPr>
        <w:t xml:space="preserve">Tasa de Alucinación (HR)</w:t>
      </w:r>
      <w:r>
        <w:t xml:space="preserve">: Preguntas con al menos una alucinación no resuelta / total.</w:t>
      </w:r>
    </w:p>
    <w:p>
      <w:pPr>
        <w:pStyle w:val="BodyText"/>
      </w:pPr>
      <w:r>
        <w:rPr>
          <w:b/>
          <w:bCs/>
        </w:rPr>
        <w:t xml:space="preserve">Tasa de Autocorrección (SCR)</w:t>
      </w:r>
      <w:r>
        <w:t xml:space="preserve">: Alucinaciones corregidas automáticamente / total detectadas.</w:t>
      </w:r>
    </w:p>
    <w:p>
      <w:pPr>
        <w:pStyle w:val="BodyText"/>
      </w:pPr>
      <w:r>
        <w:rPr>
          <w:b/>
          <w:bCs/>
        </w:rPr>
        <w:t xml:space="preserve">Token Utilization Score (TUS)</w:t>
      </w:r>
      <w:r>
        <w:t xml:space="preserve">:</w:t>
      </w:r>
      <w:r>
        <w:t xml:space="preserve"> </w:t>
      </w:r>
      <w:r>
        <w:rPr>
          <w:rStyle w:val="VerbatimChar"/>
        </w:rPr>
        <w:t xml:space="preserve">1 - (tokens_salida / max_tokens)</w:t>
      </w:r>
      <w:r>
        <w:t xml:space="preserve"> </w:t>
      </w:r>
      <w:r>
        <w:t xml:space="preserve">— mayor = más eficiente, menos relleno.</w:t>
      </w:r>
    </w:p>
    <w:p>
      <w:pPr>
        <w:pStyle w:val="BodyText"/>
      </w:pPr>
      <w:r>
        <w:rPr>
          <w:b/>
          <w:bCs/>
        </w:rPr>
        <w:t xml:space="preserve">Reliability Score (RS)</w:t>
      </w:r>
      <w:r>
        <w:t xml:space="preserve">:</w:t>
      </w:r>
      <w:r>
        <w:t xml:space="preserve"> </w:t>
      </w:r>
      <w:r>
        <w:rPr>
          <w:rStyle w:val="VerbatimChar"/>
        </w:rPr>
        <w:t xml:space="preserve">Score × (1 - HR) × (1 + SCR × 0.1)</w:t>
      </w:r>
      <w:r>
        <w:t xml:space="preserve"> </w:t>
      </w:r>
      <w:r>
        <w:t xml:space="preserve">— métrica compuesta.</w:t>
      </w:r>
    </w:p>
    <w:p>
      <w:pPr>
        <w:pStyle w:val="BodyText"/>
      </w:pPr>
      <w:r>
        <w:rPr>
          <w:b/>
          <w:bCs/>
        </w:rPr>
        <w:t xml:space="preserve">Context Recall Rate (CCR)</w:t>
      </w:r>
      <w:r>
        <w:t xml:space="preserve">: ROUGE-1 recall del SQL generado vs SQL de referencia.</w:t>
      </w:r>
    </w:p>
    <w:bookmarkEnd w:id="22"/>
    <w:bookmarkStart w:id="23" w:name="progresión-del-benchmark"/>
    <w:p>
      <w:pPr>
        <w:pStyle w:val="Heading3"/>
      </w:pPr>
      <w:r>
        <w:t xml:space="preserve">4.3 Progresión del Benchmark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Ronda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SCR</w:t>
            </w:r>
          </w:p>
        </w:tc>
        <w:tc>
          <w:tcPr/>
          <w:p>
            <w:pPr>
              <w:pStyle w:val="Compact"/>
            </w:pPr>
            <w:r>
              <w:t xml:space="preserve">TUS</w:t>
            </w:r>
          </w:p>
        </w:tc>
        <w:tc>
          <w:tcPr/>
          <w:p>
            <w:pPr>
              <w:pStyle w:val="Compact"/>
            </w:pPr>
            <w:r>
              <w:t xml:space="preserve">RS</w:t>
            </w:r>
          </w:p>
        </w:tc>
        <w:tc>
          <w:tcPr/>
          <w:p>
            <w:pPr>
              <w:pStyle w:val="Compact"/>
            </w:pPr>
            <w:r>
              <w:t xml:space="preserve">CCR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2026-06-05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Línea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2026-06-05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Docs de esquema + pares P-SQL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2026-06-05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Validador sintáctico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2026-06-06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0.983</w:t>
            </w:r>
          </w:p>
        </w:tc>
        <w:tc>
          <w:tcPr/>
          <w:p>
            <w:pPr>
              <w:pStyle w:val="Compact"/>
            </w:pPr>
            <w:r>
              <w:t xml:space="preserve">0.920</w:t>
            </w:r>
          </w:p>
        </w:tc>
        <w:tc>
          <w:tcPr/>
          <w:p>
            <w:pPr>
              <w:pStyle w:val="Compact"/>
            </w:pPr>
            <w:r>
              <w:t xml:space="preserve">0.550</w:t>
            </w:r>
          </w:p>
        </w:tc>
        <w:tc>
          <w:tcPr/>
          <w:p>
            <w:pPr>
              <w:pStyle w:val="Compact"/>
            </w:pPr>
            <w:r>
              <w:t xml:space="preserve">25 preguntas, FindingValidator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2026-06-06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Router + detección de intención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2026-06-07</w:t>
            </w:r>
          </w:p>
        </w:tc>
        <w:tc>
          <w:tcPr/>
          <w:p>
            <w:pPr>
              <w:pStyle w:val="Compact"/>
            </w:pPr>
            <w:r>
              <w:t xml:space="preserve">96%</w:t>
            </w:r>
          </w:p>
        </w:tc>
        <w:tc>
          <w:tcPr/>
          <w:p>
            <w:pPr>
              <w:pStyle w:val="Compact"/>
            </w:pPr>
            <w:r>
              <w:t xml:space="preserve">4%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0.950</w:t>
            </w:r>
          </w:p>
        </w:tc>
        <w:tc>
          <w:tcPr/>
          <w:p>
            <w:pPr>
              <w:pStyle w:val="Compact"/>
            </w:pPr>
            <w:r>
              <w:t xml:space="preserve">0.960</w:t>
            </w:r>
          </w:p>
        </w:tc>
        <w:tc>
          <w:tcPr/>
          <w:p>
            <w:pPr>
              <w:pStyle w:val="Compact"/>
            </w:pPr>
            <w:r>
              <w:t xml:space="preserve">0.810</w:t>
            </w:r>
          </w:p>
        </w:tc>
        <w:tc>
          <w:tcPr/>
          <w:p>
            <w:pPr>
              <w:pStyle w:val="Compact"/>
            </w:pPr>
            <w:r>
              <w:t xml:space="preserve">Pares P-SQL de analista DFIR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2026-06-09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  <w:tc>
          <w:tcPr/>
          <w:p>
            <w:pPr>
              <w:pStyle w:val="Compact"/>
            </w:pPr>
            <w:r>
              <w:t xml:space="preserve">0.995</w:t>
            </w:r>
          </w:p>
        </w:tc>
        <w:tc>
          <w:tcPr/>
          <w:p>
            <w:pPr>
              <w:pStyle w:val="Compact"/>
            </w:pPr>
            <w:r>
              <w:t xml:space="preserve">0.880</w:t>
            </w:r>
          </w:p>
        </w:tc>
        <w:tc>
          <w:tcPr/>
          <w:p>
            <w:pPr>
              <w:pStyle w:val="Compact"/>
            </w:pPr>
            <w:r>
              <w:t xml:space="preserve">0.963</w:t>
            </w:r>
          </w:p>
        </w:tc>
        <w:tc>
          <w:tcPr/>
          <w:p>
            <w:pPr>
              <w:pStyle w:val="Compact"/>
            </w:pPr>
            <w:r>
              <w:t xml:space="preserve">Agente EIL añadido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2026-06-09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Correcciones B07/B08/B23</w:t>
            </w:r>
          </w:p>
        </w:tc>
      </w:tr>
    </w:tbl>
    <w:p>
      <w:pPr>
        <w:pStyle w:val="BodyText"/>
      </w:pPr>
      <w:r>
        <w:rPr>
          <w:b/>
          <w:bCs/>
        </w:rPr>
        <w:t xml:space="preserve">Hardware</w:t>
      </w:r>
      <w:r>
        <w:t xml:space="preserve">: CPU Intel, sin GPU. Latencia promedio por consulta en R8: 65.3s, p95: 149.0s.</w:t>
      </w:r>
    </w:p>
    <w:bookmarkEnd w:id="23"/>
    <w:bookmarkStart w:id="24" w:name="validación-por-analista-12-casos"/>
    <w:p>
      <w:pPr>
        <w:pStyle w:val="Heading3"/>
      </w:pPr>
      <w:r>
        <w:t xml:space="preserve">4.4 Validación por Analista — 12 Casos</w:t>
      </w:r>
    </w:p>
    <w:p>
      <w:pPr>
        <w:pStyle w:val="FirstParagraph"/>
      </w:pPr>
      <w:r>
        <w:t xml:space="preserve">Más allá del benchmark, cada uno de los 12 casos de evidencia fue evaluado con una pregunta representativa de analista DFIR: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lockbit_ir</w:t>
            </w:r>
          </w:p>
        </w:tc>
        <w:tc>
          <w:tcPr/>
          <w:p>
            <w:pPr>
              <w:pStyle w:val="Compact"/>
            </w:pPr>
            <w:r>
              <w:t xml:space="preserve">39,949 eventos</w:t>
            </w:r>
          </w:p>
        </w:tc>
        <w:tc>
          <w:tcPr/>
          <w:p>
            <w:pPr>
              <w:pStyle w:val="Compact"/>
            </w:pPr>
            <w:r>
              <w:t xml:space="preserve">Cuentas con logon exitoso + IPs de origen</w:t>
            </w:r>
          </w:p>
        </w:tc>
        <w:tc>
          <w:tcPr/>
          <w:p>
            <w:pPr>
              <w:pStyle w:val="Compact"/>
            </w:pPr>
            <w:r>
              <w:t xml:space="preserve">LIMPIO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mitre_attacks</w:t>
            </w:r>
          </w:p>
        </w:tc>
        <w:tc>
          <w:tcPr/>
          <w:p>
            <w:pPr>
              <w:pStyle w:val="Compact"/>
            </w:pPr>
            <w:r>
              <w:t xml:space="preserve">63,171 eventos</w:t>
            </w:r>
          </w:p>
        </w:tc>
        <w:tc>
          <w:tcPr/>
          <w:p>
            <w:pPr>
              <w:pStyle w:val="Compact"/>
            </w:pPr>
            <w:r>
              <w:t xml:space="preserve">IPs con más intentos de logon fallido</w:t>
            </w:r>
          </w:p>
        </w:tc>
        <w:tc>
          <w:tcPr/>
          <w:p>
            <w:pPr>
              <w:pStyle w:val="Compact"/>
            </w:pPr>
            <w:r>
              <w:t xml:space="preserve">LIMPIO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credential_access</w:t>
            </w:r>
          </w:p>
        </w:tc>
        <w:tc>
          <w:tcPr/>
          <w:p>
            <w:pPr>
              <w:pStyle w:val="Compact"/>
            </w:pPr>
            <w:r>
              <w:t xml:space="preserve">29,853 eventos</w:t>
            </w:r>
          </w:p>
        </w:tc>
        <w:tc>
          <w:tcPr/>
          <w:p>
            <w:pPr>
              <w:pStyle w:val="Compact"/>
            </w:pPr>
            <w:r>
              <w:t xml:space="preserve">IPs con intentos de fuerza bruta</w:t>
            </w:r>
          </w:p>
        </w:tc>
        <w:tc>
          <w:tcPr/>
          <w:p>
            <w:pPr>
              <w:pStyle w:val="Compact"/>
            </w:pPr>
            <w:r>
              <w:t xml:space="preserve">LIMPIO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lateral_movement</w:t>
            </w:r>
          </w:p>
        </w:tc>
        <w:tc>
          <w:tcPr/>
          <w:p>
            <w:pPr>
              <w:pStyle w:val="Compact"/>
            </w:pPr>
            <w:r>
              <w:t xml:space="preserve">1,288 eventos</w:t>
            </w:r>
          </w:p>
        </w:tc>
        <w:tc>
          <w:tcPr/>
          <w:p>
            <w:pPr>
              <w:pStyle w:val="Compact"/>
            </w:pPr>
            <w:r>
              <w:t xml:space="preserve">Recursos compartidos accedidos por cuenta</w:t>
            </w:r>
          </w:p>
        </w:tc>
        <w:tc>
          <w:tcPr/>
          <w:p>
            <w:pPr>
              <w:pStyle w:val="Compact"/>
            </w:pPr>
            <w:r>
              <w:t xml:space="preserve">LIMPIO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privilege_escalation</w:t>
            </w:r>
          </w:p>
        </w:tc>
        <w:tc>
          <w:tcPr/>
          <w:p>
            <w:pPr>
              <w:pStyle w:val="Compact"/>
            </w:pPr>
            <w:r>
              <w:t xml:space="preserve">1,142 eventos</w:t>
            </w:r>
          </w:p>
        </w:tc>
        <w:tc>
          <w:tcPr/>
          <w:p>
            <w:pPr>
              <w:pStyle w:val="Compact"/>
            </w:pPr>
            <w:r>
              <w:t xml:space="preserve">Cuentas con privilegios especiales</w:t>
            </w:r>
          </w:p>
        </w:tc>
        <w:tc>
          <w:tcPr/>
          <w:p>
            <w:pPr>
              <w:pStyle w:val="Compact"/>
            </w:pPr>
            <w:r>
              <w:t xml:space="preserve">CORREGIDO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1,969 eventos</w:t>
            </w:r>
          </w:p>
        </w:tc>
        <w:tc>
          <w:tcPr/>
          <w:p>
            <w:pPr>
              <w:pStyle w:val="Compact"/>
            </w:pPr>
            <w:r>
              <w:t xml:space="preserve">Procesos con conexiones externas</w:t>
            </w:r>
          </w:p>
        </w:tc>
        <w:tc>
          <w:tcPr/>
          <w:p>
            <w:pPr>
              <w:pStyle w:val="Compact"/>
            </w:pPr>
            <w:r>
              <w:t xml:space="preserve">LIMPIO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other_ttps</w:t>
            </w:r>
          </w:p>
        </w:tc>
        <w:tc>
          <w:tcPr/>
          <w:p>
            <w:pPr>
              <w:pStyle w:val="Compact"/>
            </w:pPr>
            <w:r>
              <w:t xml:space="preserve">750 eventos</w:t>
            </w:r>
          </w:p>
        </w:tc>
        <w:tc>
          <w:tcPr/>
          <w:p>
            <w:pPr>
              <w:pStyle w:val="Compact"/>
            </w:pPr>
            <w:r>
              <w:t xml:space="preserve">Scripts PowerShell ejecutados</w:t>
            </w:r>
          </w:p>
        </w:tc>
        <w:tc>
          <w:tcPr/>
          <w:p>
            <w:pPr>
              <w:pStyle w:val="Compact"/>
            </w:pPr>
            <w:r>
              <w:t xml:space="preserve">LIMPIO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automated_testing</w:t>
            </w:r>
          </w:p>
        </w:tc>
        <w:tc>
          <w:tcPr/>
          <w:p>
            <w:pPr>
              <w:pStyle w:val="Compact"/>
            </w:pPr>
            <w:r>
              <w:t xml:space="preserve">800 eventos</w:t>
            </w:r>
          </w:p>
        </w:tc>
        <w:tc>
          <w:tcPr/>
          <w:p>
            <w:pPr>
              <w:pStyle w:val="Compact"/>
            </w:pPr>
            <w:r>
              <w:t xml:space="preserve">Detecciones de Defender</w:t>
            </w:r>
          </w:p>
        </w:tc>
        <w:tc>
          <w:tcPr/>
          <w:p>
            <w:pPr>
              <w:pStyle w:val="Compact"/>
            </w:pPr>
            <w:r>
              <w:t xml:space="preserve">LIMPIO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t xml:space="preserve">541 eventos</w:t>
            </w:r>
          </w:p>
        </w:tc>
        <w:tc>
          <w:tcPr/>
          <w:p>
            <w:pPr>
              <w:pStyle w:val="Compact"/>
            </w:pPr>
            <w:r>
              <w:t xml:space="preserve">Creación de procesos con comandos</w:t>
            </w:r>
          </w:p>
        </w:tc>
        <w:tc>
          <w:tcPr/>
          <w:p>
            <w:pPr>
              <w:pStyle w:val="Compact"/>
            </w:pPr>
            <w:r>
              <w:t xml:space="preserve">LIMPIO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defense_evasion</w:t>
            </w:r>
          </w:p>
        </w:tc>
        <w:tc>
          <w:tcPr/>
          <w:p>
            <w:pPr>
              <w:pStyle w:val="Compact"/>
            </w:pPr>
            <w:r>
              <w:t xml:space="preserve">431 eventos</w:t>
            </w:r>
          </w:p>
        </w:tc>
        <w:tc>
          <w:tcPr/>
          <w:p>
            <w:pPr>
              <w:pStyle w:val="Compact"/>
            </w:pPr>
            <w:r>
              <w:t xml:space="preserve">Borrado de registros de eventos</w:t>
            </w:r>
          </w:p>
        </w:tc>
        <w:tc>
          <w:tcPr/>
          <w:p>
            <w:pPr>
              <w:pStyle w:val="Compact"/>
            </w:pPr>
            <w:r>
              <w:t xml:space="preserve">LIMPIO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persistence</w:t>
            </w:r>
          </w:p>
        </w:tc>
        <w:tc>
          <w:tcPr/>
          <w:p>
            <w:pPr>
              <w:pStyle w:val="Compact"/>
            </w:pPr>
            <w:r>
              <w:t xml:space="preserve">411 eventos</w:t>
            </w:r>
          </w:p>
        </w:tc>
        <w:tc>
          <w:tcPr/>
          <w:p>
            <w:pPr>
              <w:pStyle w:val="Compact"/>
            </w:pPr>
            <w:r>
              <w:t xml:space="preserve">Modificaciones de Directory Service</w:t>
            </w:r>
          </w:p>
        </w:tc>
        <w:tc>
          <w:tcPr/>
          <w:p>
            <w:pPr>
              <w:pStyle w:val="Compact"/>
            </w:pPr>
            <w:r>
              <w:t xml:space="preserve">LIMPIO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163 eventos</w:t>
            </w:r>
          </w:p>
        </w:tc>
        <w:tc>
          <w:tcPr/>
          <w:p>
            <w:pPr>
              <w:pStyle w:val="Compact"/>
            </w:pPr>
            <w:r>
              <w:t xml:space="preserve">Enumeración de usuarios/grupos</w:t>
            </w:r>
          </w:p>
        </w:tc>
        <w:tc>
          <w:tcPr/>
          <w:p>
            <w:pPr>
              <w:pStyle w:val="Compact"/>
            </w:pPr>
            <w:r>
              <w:t xml:space="preserve">LIMPIO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</w:t>
      </w:r>
      <w:r>
        <w:t xml:space="preserve">: 12/12 APROBADOS, 11/12 LIMPIOS (92%), 1/12 CORREGIDO (resuelto automáticamente por el validador).</w:t>
      </w:r>
    </w:p>
    <w:bookmarkEnd w:id="24"/>
    <w:bookmarkStart w:id="25" w:name="reconstrucción-de-kill-chain-63k-eventos"/>
    <w:p>
      <w:pPr>
        <w:pStyle w:val="Heading3"/>
      </w:pPr>
      <w:r>
        <w:t xml:space="preserve">4.5 Reconstrucción de Kill Chain — 63K Eventos</w:t>
      </w:r>
    </w:p>
    <w:p>
      <w:pPr>
        <w:pStyle w:val="FirstParagraph"/>
      </w:pPr>
      <w:r>
        <w:t xml:space="preserve">Usando</w:t>
      </w:r>
      <w:r>
        <w:t xml:space="preserve"> </w:t>
      </w:r>
      <w:r>
        <w:rPr>
          <w:rStyle w:val="VerbatimChar"/>
        </w:rPr>
        <w:t xml:space="preserve">mitre_attacks</w:t>
      </w:r>
      <w:r>
        <w:t xml:space="preserve"> </w:t>
      </w:r>
      <w:r>
        <w:t xml:space="preserve">(148 archivos EVTX, 63,171 eventos, todas las fases ATT&amp;CK), reconstruimos la kill chain completa del incidente usando solo NL→SQL — sin reglas hardcodeadas: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ALCANCE</w:t>
            </w:r>
          </w:p>
        </w:tc>
        <w:tc>
          <w:tcPr/>
          <w:p>
            <w:pPr>
              <w:pStyle w:val="Compact"/>
            </w:pPr>
            <w:r>
              <w:t xml:space="preserve">¿Qué máquinas estuvieron involucradas?</w:t>
            </w:r>
          </w:p>
        </w:tc>
        <w:tc>
          <w:tcPr/>
          <w:p>
            <w:pPr>
              <w:pStyle w:val="Compact"/>
            </w:pPr>
            <w:r>
              <w:t xml:space="preserve">LIMPIO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 INICIAL</w:t>
            </w:r>
          </w:p>
        </w:tc>
        <w:tc>
          <w:tcPr/>
          <w:p>
            <w:pPr>
              <w:pStyle w:val="Compact"/>
            </w:pPr>
            <w:r>
              <w:t xml:space="preserve">Primeros ataques de credenciales contra el entorno</w:t>
            </w:r>
          </w:p>
        </w:tc>
        <w:tc>
          <w:tcPr/>
          <w:p>
            <w:pPr>
              <w:pStyle w:val="Compact"/>
            </w:pPr>
            <w:r>
              <w:t xml:space="preserve">LIMPIO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 INICIAL</w:t>
            </w:r>
          </w:p>
        </w:tc>
        <w:tc>
          <w:tcPr/>
          <w:p>
            <w:pPr>
              <w:pStyle w:val="Compact"/>
            </w:pPr>
            <w:r>
              <w:t xml:space="preserve">Progresión del ataque: logons fallidos → exitosos desde la misma IP</w:t>
            </w:r>
          </w:p>
        </w:tc>
        <w:tc>
          <w:tcPr/>
          <w:p>
            <w:pPr>
              <w:pStyle w:val="Compact"/>
            </w:pPr>
            <w:r>
              <w:t xml:space="preserve">LIMPIO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MOVIMIENTO LATERAL</w:t>
            </w:r>
          </w:p>
        </w:tc>
        <w:tc>
          <w:tcPr/>
          <w:p>
            <w:pPr>
              <w:pStyle w:val="Compact"/>
            </w:pPr>
            <w:r>
              <w:t xml:space="preserve">Cuentas que se movieron entre máquinas</w:t>
            </w:r>
          </w:p>
        </w:tc>
        <w:tc>
          <w:tcPr/>
          <w:p>
            <w:pPr>
              <w:pStyle w:val="Compact"/>
            </w:pPr>
            <w:r>
              <w:t xml:space="preserve">LIMPIO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ESCALACIÓN DE PRIVILEGIOS</w:t>
            </w:r>
          </w:p>
        </w:tc>
        <w:tc>
          <w:tcPr/>
          <w:p>
            <w:pPr>
              <w:pStyle w:val="Compact"/>
            </w:pPr>
            <w:r>
              <w:t xml:space="preserve">Cuentas que recibieron privilegios especiales</w:t>
            </w:r>
          </w:p>
        </w:tc>
        <w:tc>
          <w:tcPr/>
          <w:p>
            <w:pPr>
              <w:pStyle w:val="Compact"/>
            </w:pPr>
            <w:r>
              <w:t xml:space="preserve">LIMPIO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PERSISTENCIA</w:t>
            </w:r>
          </w:p>
        </w:tc>
        <w:tc>
          <w:tcPr/>
          <w:p>
            <w:pPr>
              <w:pStyle w:val="Compact"/>
            </w:pPr>
            <w:r>
              <w:t xml:space="preserve">Mecanismos de persistencia establecidos</w:t>
            </w:r>
          </w:p>
        </w:tc>
        <w:tc>
          <w:tcPr/>
          <w:p>
            <w:pPr>
              <w:pStyle w:val="Compact"/>
            </w:pPr>
            <w:r>
              <w:t xml:space="preserve">LIMPIO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EVASIÓN DE DEFENSA</w:t>
            </w:r>
          </w:p>
        </w:tc>
        <w:tc>
          <w:tcPr/>
          <w:p>
            <w:pPr>
              <w:pStyle w:val="Compact"/>
            </w:pPr>
            <w:r>
              <w:t xml:space="preserve">Acciones de evasión de defensa tomadas</w:t>
            </w:r>
          </w:p>
        </w:tc>
        <w:tc>
          <w:tcPr/>
          <w:p>
            <w:pPr>
              <w:pStyle w:val="Compact"/>
            </w:pPr>
            <w:r>
              <w:t xml:space="preserve">LIMPIO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EJECUCIÓN</w:t>
            </w:r>
          </w:p>
        </w:tc>
        <w:tc>
          <w:tcPr/>
          <w:p>
            <w:pPr>
              <w:pStyle w:val="Compact"/>
            </w:pPr>
            <w:r>
              <w:t xml:space="preserve">Procesos y comandos ejecutados</w:t>
            </w:r>
          </w:p>
        </w:tc>
        <w:tc>
          <w:tcPr/>
          <w:p>
            <w:pPr>
              <w:pStyle w:val="Compact"/>
            </w:pPr>
            <w:r>
              <w:t xml:space="preserve">LIMPIO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ATRIBUCIÓN</w:t>
            </w:r>
          </w:p>
        </w:tc>
        <w:tc>
          <w:tcPr/>
          <w:p>
            <w:pPr>
              <w:pStyle w:val="Compact"/>
            </w:pPr>
            <w:r>
              <w:t xml:space="preserve">Cuenta de usuario presente en más fases del ataque</w:t>
            </w:r>
          </w:p>
        </w:tc>
        <w:tc>
          <w:tcPr/>
          <w:p>
            <w:pPr>
              <w:pStyle w:val="Compact"/>
            </w:pPr>
            <w:r>
              <w:t xml:space="preserve">LIMPIO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LÍNEA DE TIEMPO</w:t>
            </w:r>
          </w:p>
        </w:tc>
        <w:tc>
          <w:tcPr/>
          <w:p>
            <w:pPr>
              <w:pStyle w:val="Compact"/>
            </w:pPr>
            <w:r>
              <w:t xml:space="preserve">Cronología completa del incidente ordenada por tiempo</w:t>
            </w:r>
          </w:p>
        </w:tc>
        <w:tc>
          <w:tcPr/>
          <w:p>
            <w:pPr>
              <w:pStyle w:val="Compact"/>
            </w:pPr>
            <w:r>
              <w:t xml:space="preserve">LIMPIO</w:t>
            </w:r>
          </w:p>
        </w:tc>
      </w:tr>
    </w:tbl>
    <w:p>
      <w:pPr>
        <w:pStyle w:val="BodyText"/>
      </w:pPr>
      <w:r>
        <w:rPr>
          <w:b/>
          <w:bCs/>
        </w:rPr>
        <w:t xml:space="preserve">10/10 LIMPIOS.</w:t>
      </w:r>
      <w:r>
        <w:t xml:space="preserve"> </w:t>
      </w:r>
      <w:r>
        <w:t xml:space="preserve">Hallazgos clave: cuenta</w:t>
      </w:r>
      <w:r>
        <w:t xml:space="preserve"> </w:t>
      </w:r>
      <w:r>
        <w:rPr>
          <w:rStyle w:val="VerbatimChar"/>
        </w:rPr>
        <w:t xml:space="preserve">Administrator</w:t>
      </w:r>
      <w:r>
        <w:t xml:space="preserve"> </w:t>
      </w:r>
      <w:r>
        <w:t xml:space="preserve">cubrió 11 fases del ataque; cadena de ejecución</w:t>
      </w:r>
      <w:r>
        <w:t xml:space="preserve"> </w:t>
      </w:r>
      <w:r>
        <w:rPr>
          <w:rStyle w:val="VerbatimChar"/>
        </w:rPr>
        <w:t xml:space="preserve">hh.exe → cmd.exe → rundll32.exe</w:t>
      </w:r>
      <w:r>
        <w:t xml:space="preserve">; 22 eventos de borrado de logs durante la fase de evasión.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orpus-de-evidencia"/>
    <w:p>
      <w:pPr>
        <w:pStyle w:val="Heading2"/>
      </w:pPr>
      <w:r>
        <w:t xml:space="preserve">5. Corpus de Evidencia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Casos</w:t>
            </w:r>
          </w:p>
        </w:tc>
        <w:tc>
          <w:tcPr/>
          <w:p>
            <w:pPr>
              <w:pStyle w:val="Compact"/>
            </w:pPr>
            <w:r>
              <w:t xml:space="preserve">Eventos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 de Ransomware LockBit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39,949</w:t>
            </w:r>
          </w:p>
        </w:tc>
        <w:tc>
          <w:tcPr/>
          <w:p>
            <w:pPr>
              <w:pStyle w:val="Compact"/>
            </w:pPr>
            <w:r>
              <w:t xml:space="preserve">Respuesta a incidente real (anonimizado)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sbousseaden EVTX-ATTACK-SAMPLES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98,000+</w:t>
            </w:r>
          </w:p>
        </w:tc>
        <w:tc>
          <w:tcPr/>
          <w:p>
            <w:pPr>
              <w:pStyle w:val="Compact"/>
            </w:pPr>
            <w:r>
              <w:t xml:space="preserve">github.com/sbousseaden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mitre_attacks (combinado)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63,171</w:t>
            </w:r>
          </w:p>
        </w:tc>
        <w:tc>
          <w:tcPr/>
          <w:p>
            <w:pPr>
              <w:pStyle w:val="Compact"/>
            </w:pPr>
            <w:r>
              <w:t xml:space="preserve">Las 10 categorías ATT&amp;CK fusionadas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mdecrevoisier pasos APT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3,609</w:t>
            </w:r>
          </w:p>
        </w:tc>
        <w:tc>
          <w:tcPr/>
          <w:p>
            <w:pPr>
              <w:pStyle w:val="Compact"/>
            </w:pPr>
            <w:r>
              <w:t xml:space="preserve">github.com/mdecrevoisier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RDP FOR563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1,800</w:t>
            </w:r>
          </w:p>
        </w:tc>
        <w:tc>
          <w:tcPr/>
          <w:p>
            <w:pPr>
              <w:pStyle w:val="Compact"/>
            </w:pPr>
            <w:r>
              <w:t xml:space="preserve">Ejercicio SANS FOR563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~207,000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0" w:name="implementación"/>
    <w:p>
      <w:pPr>
        <w:pStyle w:val="Heading2"/>
      </w:pPr>
      <w:r>
        <w:t xml:space="preserve">6. Implementación</w:t>
      </w:r>
    </w:p>
    <w:bookmarkStart w:id="28" w:name="dependencias"/>
    <w:p>
      <w:pPr>
        <w:pStyle w:val="Heading3"/>
      </w:pPr>
      <w:r>
        <w:t xml:space="preserve">6.1 Dependencias</w:t>
      </w:r>
    </w:p>
    <w:p>
      <w:pPr>
        <w:pStyle w:val="SourceCode"/>
      </w:pPr>
      <w:r>
        <w:rPr>
          <w:rStyle w:val="VerbatimChar"/>
        </w:rPr>
        <w:t xml:space="preserve">python-evtx     ← Parseo de EVTX</w:t>
      </w:r>
      <w:r>
        <w:br/>
      </w:r>
      <w:r>
        <w:rPr>
          <w:rStyle w:val="VerbatimChar"/>
        </w:rPr>
        <w:t xml:space="preserve">pandas          ← Salida en DataFrame</w:t>
      </w:r>
      <w:r>
        <w:br/>
      </w:r>
      <w:r>
        <w:rPr>
          <w:rStyle w:val="VerbatimChar"/>
        </w:rPr>
        <w:t xml:space="preserve">openai          ← Cliente compatible con Ollama</w:t>
      </w:r>
      <w:r>
        <w:br/>
      </w:r>
      <w:r>
        <w:rPr>
          <w:rStyle w:val="VerbatimChar"/>
        </w:rPr>
        <w:t xml:space="preserve">httpx           ← Control explícito de timeout</w:t>
      </w:r>
      <w:r>
        <w:br/>
      </w:r>
      <w:r>
        <w:rPr>
          <w:rStyle w:val="VerbatimChar"/>
        </w:rPr>
        <w:t xml:space="preserve">sqlite3         ← Biblioteca estándar, sin instalación</w:t>
      </w:r>
    </w:p>
    <w:p>
      <w:pPr>
        <w:pStyle w:val="FirstParagraph"/>
      </w:pPr>
      <w:r>
        <w:t xml:space="preserve">Sin base de datos vectorial, sin modelo de embeddings, sin API en la nube.</w:t>
      </w:r>
    </w:p>
    <w:bookmarkEnd w:id="28"/>
    <w:bookmarkStart w:id="29" w:name="instalación"/>
    <w:p>
      <w:pPr>
        <w:pStyle w:val="Heading3"/>
      </w:pPr>
      <w:r>
        <w:t xml:space="preserve">6.2 Instalación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https://github.com/robdinovil/nexus-dfir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nexus-dfir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qwen2.5:7b-instruct</w:t>
      </w:r>
      <w:r>
        <w:br/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new micaso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ingest micaso /ruta/a/evidencia/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micaso </w:t>
      </w:r>
      <w:r>
        <w:rPr>
          <w:rStyle w:val="StringTok"/>
        </w:rPr>
        <w:t xml:space="preserve">"¿Qué cuentas tuvieron logon exitoso?"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hunt micaso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investigate micaso </w:t>
      </w:r>
      <w:r>
        <w:rPr>
          <w:rStyle w:val="StringTok"/>
        </w:rPr>
        <w:t xml:space="preserve">"¿Qué pasó en este incidente?"</w:t>
      </w:r>
    </w:p>
    <w:p>
      <w:pPr>
        <w:pStyle w:val="FirstParagraph"/>
      </w:pPr>
      <w:r>
        <w:rPr>
          <w:b/>
          <w:bCs/>
        </w:rPr>
        <w:t xml:space="preserve">Requisitos del sistema</w:t>
      </w:r>
      <w:r>
        <w:t xml:space="preserve">: Python 3.10+, Ollama ≥0.3, ~5GB RAM, sin GPU requerida.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limitaciones-y-trabajo-futuro"/>
    <w:p>
      <w:pPr>
        <w:pStyle w:val="Heading2"/>
      </w:pPr>
      <w:r>
        <w:t xml:space="preserve">7. Limitaciones y Trabajo Futuro</w:t>
      </w:r>
    </w:p>
    <w:p>
      <w:pPr>
        <w:pStyle w:val="FirstParagraph"/>
      </w:pPr>
      <w:r>
        <w:rPr>
          <w:b/>
          <w:bCs/>
        </w:rPr>
        <w:t xml:space="preserve">Madurez del agente EIL</w:t>
      </w:r>
      <w:r>
        <w:t xml:space="preserve">: El agente ReAct completa investigaciones de forma confiable, pero puede desperdiciar pasos en consultas con timestamps alucinados cuando la evidencia carece de datos temporales. Mejora: inyectar disponibilidad de timestamps en el contexto del caso.</w:t>
      </w:r>
    </w:p>
    <w:p>
      <w:pPr>
        <w:pStyle w:val="BodyText"/>
      </w:pPr>
      <w:r>
        <w:rPr>
          <w:b/>
          <w:bCs/>
        </w:rPr>
        <w:t xml:space="preserve">Cobertura de parsers</w:t>
      </w:r>
      <w:r>
        <w:t xml:space="preserve">: Los parsers actuales soportan EVTX, CSV (tasklist/schtasks/WMIC), netstat, exportaciones de registro y systeminfo. PCAP (vía tshark), MFT, prefetch e historial de navegador están planificados.</w:t>
      </w:r>
    </w:p>
    <w:p>
      <w:pPr>
        <w:pStyle w:val="BodyText"/>
      </w:pPr>
      <w:r>
        <w:rPr>
          <w:b/>
          <w:bCs/>
        </w:rPr>
        <w:t xml:space="preserve">Soporte de imágenes forenses E01</w:t>
      </w:r>
      <w:r>
        <w:t xml:space="preserve">: Actualmente requiere artefactos pre-extraídos. La integración con</w:t>
      </w:r>
      <w:r>
        <w:t xml:space="preserve"> </w:t>
      </w:r>
      <w:r>
        <w:rPr>
          <w:rStyle w:val="VerbatimChar"/>
        </w:rPr>
        <w:t xml:space="preserve">ewfmount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pytsk3</w:t>
      </w:r>
      <w:r>
        <w:t xml:space="preserve"> </w:t>
      </w:r>
      <w:r>
        <w:t xml:space="preserve">permitiría ingestión directa de E01.</w:t>
      </w:r>
    </w:p>
    <w:p>
      <w:pPr>
        <w:pStyle w:val="BodyText"/>
      </w:pPr>
      <w:r>
        <w:rPr>
          <w:b/>
          <w:bCs/>
        </w:rPr>
        <w:t xml:space="preserve">Agentes Triage y Report</w:t>
      </w:r>
      <w:r>
        <w:t xml:space="preserve">: Un Agente de Triage (clasificación rápida usando</w:t>
      </w:r>
      <w:r>
        <w:t xml:space="preserve"> </w:t>
      </w:r>
      <w:r>
        <w:rPr>
          <w:rStyle w:val="VerbatimChar"/>
        </w:rPr>
        <w:t xml:space="preserve">qwen2.5:3b</w:t>
      </w:r>
      <w:r>
        <w:t xml:space="preserve">) y un Agente de Reporte (generación de reporte IR estructurado) están planificados para completar el sistema multiagente.</w:t>
      </w:r>
    </w:p>
    <w:p>
      <w:pPr>
        <w:pStyle w:val="BodyText"/>
      </w:pPr>
      <w:r>
        <w:rPr>
          <w:b/>
          <w:bCs/>
        </w:rPr>
        <w:t xml:space="preserve">Dependencia del modelo</w:t>
      </w:r>
      <w:r>
        <w:t xml:space="preserve">: Los resultados son específicos a</w:t>
      </w:r>
      <w:r>
        <w:t xml:space="preserve"> </w:t>
      </w:r>
      <w:r>
        <w:rPr>
          <w:rStyle w:val="VerbatimChar"/>
        </w:rPr>
        <w:t xml:space="preserve">qwen2.5:7b-instruct</w:t>
      </w:r>
      <w:r>
        <w:t xml:space="preserve">. El rendimiento puede variar con otros modelos. El enfoque few-shot es agnóstico al modelo; se espera que modelos más grandes mejoren la calidad de razonamiento del EIL.</w:t>
      </w:r>
    </w:p>
    <w:p>
      <w:r>
        <w:pict>
          <v:rect style="width:0;height:1.5pt" o:hralign="center" o:hrstd="t" o:hr="t"/>
        </w:pict>
      </w:r>
    </w:p>
    <w:bookmarkEnd w:id="31"/>
    <w:bookmarkStart w:id="32" w:name="conclusión"/>
    <w:p>
      <w:pPr>
        <w:pStyle w:val="Heading2"/>
      </w:pPr>
      <w:r>
        <w:t xml:space="preserve">8. Conclusión</w:t>
      </w:r>
    </w:p>
    <w:p>
      <w:pPr>
        <w:pStyle w:val="FirstParagraph"/>
      </w:pPr>
      <w:r>
        <w:t xml:space="preserve">Nexus demuestra que el análisis forense NL→SQL con 100% de precisión es alcanzable en hardware air-gapped sin GPU usando un modelo de 7B parámetros. Los factores habilitadores clave son: (1) recuperación few-shot BM25 fundamentada en pares P-SQL del dominio forense, (2) un validador de tres capas que detecta y corrige alucinaciones antes de que lleguen al analista, y (3) entrenamiento específico por caso que adapta el pipeline a cada corpus de evidencia.</w:t>
      </w:r>
    </w:p>
    <w:p>
      <w:pPr>
        <w:pStyle w:val="BodyText"/>
      </w:pPr>
      <w:r>
        <w:t xml:space="preserve">El Evidence Interrogation Loop extiende esta base hacia la investigación autónoma — dado un caso y un objetivo, el sistema construye independientemente la kill chain del ataque sin guía del analista. Juntos, estos componentes abordan la restricción operacional central de la respuesta real a incidentes: análisis riguroso bajo condiciones air-gap, a velocidad de máquina.</w:t>
      </w:r>
    </w:p>
    <w:p>
      <w:r>
        <w:pict>
          <v:rect style="width:0;height:1.5pt" o:hralign="center" o:hrstd="t" o:hr="t"/>
        </w:pict>
      </w:r>
    </w:p>
    <w:bookmarkEnd w:id="32"/>
    <w:bookmarkStart w:id="33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2"/>
        </w:numPr>
      </w:pPr>
      <w:r>
        <w:t xml:space="preserve">Yao, S. et al. (2022). ReAct: Synergizing Reasoning and Acting in Language Models.</w:t>
      </w:r>
      <w:r>
        <w:t xml:space="preserve"> </w:t>
      </w:r>
      <w:r>
        <w:rPr>
          <w:i/>
          <w:iCs/>
        </w:rPr>
        <w:t xml:space="preserve">arXiv:2210.03629</w:t>
      </w:r>
    </w:p>
    <w:p>
      <w:pPr>
        <w:pStyle w:val="Compact"/>
        <w:numPr>
          <w:ilvl w:val="0"/>
          <w:numId w:val="1002"/>
        </w:numPr>
      </w:pPr>
      <w:r>
        <w:t xml:space="preserve">MITRE Corporation. Marco ATT&amp;CK v14.</w:t>
      </w:r>
      <w:r>
        <w:t xml:space="preserve"> </w:t>
      </w:r>
      <w:r>
        <w:rPr>
          <w:i/>
          <w:iCs/>
        </w:rPr>
        <w:t xml:space="preserve">attack.mitre.org</w:t>
      </w:r>
    </w:p>
    <w:p>
      <w:pPr>
        <w:pStyle w:val="Compact"/>
        <w:numPr>
          <w:ilvl w:val="0"/>
          <w:numId w:val="1002"/>
        </w:numPr>
      </w:pPr>
      <w:r>
        <w:t xml:space="preserve">Carrier, B. (2005). File System Forensic Analysis. Addison-Wesley.</w:t>
      </w:r>
    </w:p>
    <w:p>
      <w:pPr>
        <w:pStyle w:val="Compact"/>
        <w:numPr>
          <w:ilvl w:val="0"/>
          <w:numId w:val="1002"/>
        </w:numPr>
      </w:pPr>
      <w:r>
        <w:t xml:space="preserve">Qwen Team (2024). Qwen2.5 Technical Report.</w:t>
      </w:r>
      <w:r>
        <w:t xml:space="preserve"> </w:t>
      </w:r>
      <w:r>
        <w:rPr>
          <w:i/>
          <w:iCs/>
        </w:rPr>
        <w:t xml:space="preserve">arXiv:2412.15115</w:t>
      </w:r>
    </w:p>
    <w:p>
      <w:pPr>
        <w:pStyle w:val="Compact"/>
        <w:numPr>
          <w:ilvl w:val="0"/>
          <w:numId w:val="1002"/>
        </w:numPr>
      </w:pPr>
      <w:r>
        <w:t xml:space="preserve">sbousseaden. EVTX-ATTACK-SAMPLES.</w:t>
      </w:r>
      <w:r>
        <w:t xml:space="preserve"> </w:t>
      </w:r>
      <w:r>
        <w:rPr>
          <w:i/>
          <w:iCs/>
        </w:rPr>
        <w:t xml:space="preserve">github.com/sbousseaden/EVTX-ATTACK-SAMPLES</w:t>
      </w:r>
    </w:p>
    <w:p>
      <w:pPr>
        <w:pStyle w:val="Compact"/>
        <w:numPr>
          <w:ilvl w:val="0"/>
          <w:numId w:val="1002"/>
        </w:numPr>
      </w:pPr>
      <w:r>
        <w:t xml:space="preserve">mdecrevoisier. EVTX-to-MITRE-Attack.</w:t>
      </w:r>
      <w:r>
        <w:t xml:space="preserve"> </w:t>
      </w:r>
      <w:r>
        <w:rPr>
          <w:i/>
          <w:iCs/>
        </w:rPr>
        <w:t xml:space="preserve">github.com/mdecrevoisier/EVTX-to-MITRE-Attack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Nexus DFIR v0.2.0 — código abierto en github.com/robdinovil/nexus-dfir</w:t>
      </w:r>
      <w:r>
        <w:br/>
      </w:r>
      <w:r>
        <w:rPr>
          <w:i/>
          <w:iCs/>
        </w:rPr>
        <w:t xml:space="preserve">Datos de benchmark, grabaciones y scripts de reproducibilidad incluidos en el repositorio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2026-06-09T06:19:53Z</dcterms:created>
  <dcterms:modified xsi:type="dcterms:W3CDTF">2026-06-09T06:19:53Z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