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67E22"/>
          <w:sz w:val="32"/>
        </w:rPr>
        <w:t>Blue Ridge Construction Pty Ltd</w:t>
      </w:r>
    </w:p>
    <w:p>
      <w:pPr>
        <w:spacing w:before="0" w:after="0"/>
      </w:pPr>
      <w:r>
        <w:t>Unit 3, 88 Industrial Drive, Fyshwick, ACT 2609</w:t>
      </w:r>
    </w:p>
    <w:p>
      <w:pPr>
        <w:spacing w:before="0" w:after="0"/>
      </w:pPr>
      <w:r>
        <w:t>Phone: (02) 6123 4567  |  admin@blueridgeconstruction.com.au</w:t>
      </w:r>
    </w:p>
    <w:p>
      <w:pPr>
        <w:spacing w:before="0" w:after="80"/>
      </w:pPr>
      <w:r>
        <w:t>ABN: 51 234 567 890</w:t>
      </w:r>
    </w:p>
    <w:p>
      <w:pPr>
        <w:spacing w:after="160"/>
        <w:jc w:val="right"/>
      </w:pPr>
      <w:r>
        <w:rPr>
          <w:b/>
          <w:color w:val="E67E2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Reference</w:t>
            </w:r>
          </w:p>
        </w:tc>
        <w:tc>
          <w:tcPr>
            <w:tcW w:type="dxa" w:w="2412"/>
          </w:tcPr>
          <w:p>
            <w:r>
              <w:t xml:space="preserve">QTE-202604-342</w:t>
            </w:r>
          </w:p>
        </w:tc>
        <w:tc>
          <w:tcPr>
            <w:tcW w:type="dxa" w:w="2412"/>
            <w:shd w:val="clear" w:color="auto" w:fill="D5E8F4"/>
          </w:tcPr>
          <w:p>
            <w:r>
              <w:t>DD/MM/YYYY</w:t>
            </w:r>
          </w:p>
        </w:tc>
        <w:tc>
          <w:tcPr>
            <w:tcW w:type="dxa" w:w="2412"/>
          </w:tcPr>
          <w:p>
            <w:r>
              <w:t xml:space="preserve">22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22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E67E22"/>
        </w:rPr>
        <w:t>Bill To:</w:t>
      </w:r>
    </w:p>
    <w:p>
      <w:pPr>
        <w:spacing w:after="0"/>
      </w:pPr>
      <w:r>
        <w:t xml:space="preserve">David Nguyen</w:t>
      </w:r>
    </w:p>
    <w:p>
      <w:pPr>
        <w:spacing w:after="160"/>
      </w:pPr>
      <w:r>
        <w:t xml:space="preserve">22 Ironbark Close, Canberra ACT 2600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 xml:space="preserve">Demolition and site preparation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A$4,500.00</w:t>
            </w:r>
          </w:p>
        </w:tc>
        <w:tc>
          <w:tcPr>
            <w:tcW w:type="dxa" w:w="2412"/>
          </w:tcPr>
          <w:p>
            <w:r>
              <w:t xml:space="preserve">A$4,500.00</w:t>
            </w:r>
          </w:p>
        </w:tc>
      </w:tr>
      <w:tr>
        <w:tc>
          <w:tcPr>
            <w:tcW w:type="dxa" w:w="2412"/>
          </w:tcPr>
          <w:p>
            <w:r>
              <w:t xml:space="preserve">Concrete slab — 6m x 4m extension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A$8,800.00</w:t>
            </w:r>
          </w:p>
        </w:tc>
        <w:tc>
          <w:tcPr>
            <w:tcW w:type="dxa" w:w="2412"/>
          </w:tcPr>
          <w:p>
            <w:r>
              <w:t xml:space="preserve">A$8,800.00</w:t>
            </w:r>
          </w:p>
        </w:tc>
      </w:tr>
      <w:tr>
        <w:tc>
          <w:tcPr>
            <w:tcW w:type="dxa" w:w="2412"/>
          </w:tcPr>
          <w:p>
            <w:r>
              <w:t xml:space="preserve">Structural framing and roofing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A$12,000.00</w:t>
            </w:r>
          </w:p>
        </w:tc>
        <w:tc>
          <w:tcPr>
            <w:tcW w:type="dxa" w:w="2412"/>
          </w:tcPr>
          <w:p>
            <w:r>
              <w:t xml:space="preserve">A$12,000.00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A$25,300.00</w:t>
            </w:r>
          </w:p>
        </w:tc>
      </w:tr>
      <w:tr>
        <w:tc>
          <w:tcPr>
            <w:tcW w:type="dxa" w:w="4824"/>
          </w:tcPr>
          <w:p>
            <w:r>
              <w:t>GST (10%)</w:t>
            </w:r>
          </w:p>
        </w:tc>
        <w:tc>
          <w:tcPr>
            <w:tcW w:type="dxa" w:w="4824"/>
          </w:tcPr>
          <w:p>
            <w:r>
              <w:t xml:space="preserve">A$2,530.00</w:t>
            </w:r>
          </w:p>
        </w:tc>
      </w:tr>
      <w:tr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 xml:space="preserve">A$27,830.00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E67E22"/>
        </w:rPr>
        <w:t>Payment Details:</w:t>
      </w:r>
    </w:p>
    <w:p>
      <w:pPr>
        <w:spacing w:after="0"/>
      </w:pPr>
      <w:r>
        <w:t>Bank: Commonwealth  |  BSB: 062-000  |  Account: 34567890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