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8449"/>
          <w:sz w:val="32"/>
        </w:rPr>
        <w:t>TechStream Solutions GmbH</w:t>
      </w:r>
    </w:p>
    <w:p>
      <w:pPr>
        <w:spacing w:before="0" w:after="0"/>
      </w:pPr>
      <w:r>
        <w:t>Hauptstrasse 120, 10117 Berlin, Germany</w:t>
      </w:r>
    </w:p>
    <w:p>
      <w:pPr>
        <w:spacing w:before="0" w:after="0"/>
      </w:pPr>
      <w:r>
        <w:t>info@techstream.de  |  +49 30 1234 5678</w:t>
      </w:r>
    </w:p>
    <w:p>
      <w:pPr>
        <w:spacing w:before="0" w:after="80"/>
      </w:pPr>
      <w:r>
        <w:t>USt-IdNr.: DE 123 456 789</w:t>
      </w:r>
    </w:p>
    <w:p>
      <w:pPr>
        <w:spacing w:after="160"/>
        <w:jc w:val="right"/>
      </w:pPr>
      <w:r>
        <w:rPr>
          <w:b/>
          <w:color w:val="1E8449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Ref #</w:t>
            </w:r>
          </w:p>
        </w:tc>
        <w:tc>
          <w:tcPr>
            <w:tcW w:type="dxa" w:w="2412"/>
          </w:tcPr>
          <w:p>
            <w:r>
              <w:t xml:space="preserve">QTE-202604-578</w:t>
            </w:r>
          </w:p>
        </w:tc>
        <w:tc>
          <w:tcPr>
            <w:tcW w:type="dxa" w:w="2412"/>
            <w:shd w:val="clear" w:color="auto" w:fill="D5E8F4"/>
          </w:tcPr>
          <w:p>
            <w:r>
              <w:t>Date</w:t>
            </w:r>
          </w:p>
        </w:tc>
        <w:tc>
          <w:tcPr>
            <w:tcW w:type="dxa" w:w="2412"/>
          </w:tcPr>
          <w:p>
            <w:r>
              <w:t xml:space="preserve">22 April 2026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 xml:space="preserve">22 May 2026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1E8449"/>
        </w:rPr>
        <w:t>Bill To:</w:t>
      </w:r>
    </w:p>
    <w:p>
      <w:pPr>
        <w:spacing w:after="0"/>
      </w:pPr>
      <w:r>
        <w:t xml:space="preserve">Brandt Manufacturing AG</w:t>
      </w:r>
    </w:p>
    <w:p>
      <w:pPr>
        <w:spacing w:after="160"/>
      </w:pPr>
      <w:r>
        <w:t xml:space="preserve">Industriestrasse 42, 80331 Munchen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E8449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412"/>
            <w:shd w:val="clear" w:color="auto" w:fill="1E8449"/>
          </w:tcPr>
          <w:p>
            <w:r>
              <w:rPr>
                <w:b/>
                <w:color w:val="FFFFFF"/>
              </w:rPr>
              <w:t>Hours</w:t>
            </w:r>
          </w:p>
        </w:tc>
        <w:tc>
          <w:tcPr>
            <w:tcW w:type="dxa" w:w="2412"/>
            <w:shd w:val="clear" w:color="auto" w:fill="1E8449"/>
          </w:tcPr>
          <w:p>
            <w:r>
              <w:rPr>
                <w:b/>
                <w:color w:val="FFFFFF"/>
              </w:rPr>
              <w:t>Rate (EUR)</w:t>
            </w:r>
          </w:p>
        </w:tc>
        <w:tc>
          <w:tcPr>
            <w:tcW w:type="dxa" w:w="2412"/>
            <w:shd w:val="clear" w:color="auto" w:fill="1E8449"/>
          </w:tcPr>
          <w:p>
            <w:r>
              <w:rPr>
                <w:b/>
                <w:color w:val="FFFFFF"/>
              </w:rPr>
              <w:t>Total (EUR)</w:t>
            </w:r>
          </w:p>
        </w:tc>
      </w:tr>
      <w:tr>
        <w:tc>
          <w:tcPr>
            <w:tcW w:type="dxa" w:w="2412"/>
          </w:tcPr>
          <w:p>
            <w:r>
              <w:t xml:space="preserve">Network infrastructure audit</w:t>
            </w:r>
          </w:p>
        </w:tc>
        <w:tc>
          <w:tcPr>
            <w:tcW w:type="dxa" w:w="2412"/>
          </w:tcPr>
          <w:p>
            <w:r>
              <w:t xml:space="preserve">8</w:t>
            </w:r>
          </w:p>
        </w:tc>
        <w:tc>
          <w:tcPr>
            <w:tcW w:type="dxa" w:w="2412"/>
          </w:tcPr>
          <w:p>
            <w:r>
              <w:t xml:space="preserve">€200.00</w:t>
            </w:r>
          </w:p>
        </w:tc>
        <w:tc>
          <w:tcPr>
            <w:tcW w:type="dxa" w:w="2412"/>
          </w:tcPr>
          <w:p>
            <w:r>
              <w:t xml:space="preserve">€1,600.00</w:t>
            </w:r>
          </w:p>
        </w:tc>
      </w:tr>
      <w:tr>
        <w:tc>
          <w:tcPr>
            <w:tcW w:type="dxa" w:w="2412"/>
          </w:tcPr>
          <w:p>
            <w:r>
              <w:t xml:space="preserve">Server migration to cloud (AWS)</w:t>
            </w:r>
          </w:p>
        </w:tc>
        <w:tc>
          <w:tcPr>
            <w:tcW w:type="dxa" w:w="2412"/>
          </w:tcPr>
          <w:p>
            <w:r>
              <w:t xml:space="preserve">24</w:t>
            </w:r>
          </w:p>
        </w:tc>
        <w:tc>
          <w:tcPr>
            <w:tcW w:type="dxa" w:w="2412"/>
          </w:tcPr>
          <w:p>
            <w:r>
              <w:t xml:space="preserve">€185.00</w:t>
            </w:r>
          </w:p>
        </w:tc>
        <w:tc>
          <w:tcPr>
            <w:tcW w:type="dxa" w:w="2412"/>
          </w:tcPr>
          <w:p>
            <w:r>
              <w:t xml:space="preserve">€4,440.00</w:t>
            </w:r>
          </w:p>
        </w:tc>
      </w:tr>
      <w:tr>
        <w:tc>
          <w:tcPr>
            <w:tcW w:type="dxa" w:w="2412"/>
          </w:tcPr>
          <w:p>
            <w:r>
              <w:t xml:space="preserve">Cybersecurity assessment and report</w:t>
            </w:r>
          </w:p>
        </w:tc>
        <w:tc>
          <w:tcPr>
            <w:tcW w:type="dxa" w:w="2412"/>
          </w:tcPr>
          <w:p>
            <w:r>
              <w:t xml:space="preserve">16</w:t>
            </w:r>
          </w:p>
        </w:tc>
        <w:tc>
          <w:tcPr>
            <w:tcW w:type="dxa" w:w="2412"/>
          </w:tcPr>
          <w:p>
            <w:r>
              <w:t xml:space="preserve">€220.00</w:t>
            </w:r>
          </w:p>
        </w:tc>
        <w:tc>
          <w:tcPr>
            <w:tcW w:type="dxa" w:w="2412"/>
          </w:tcPr>
          <w:p>
            <w:r>
              <w:t xml:space="preserve">€3,520.00</w:t>
            </w:r>
          </w:p>
        </w:tc>
      </w:tr>
      <w:tr>
        <w:tc>
          <w:tcPr>
            <w:tcW w:type="dxa" w:w="2412"/>
          </w:tcPr>
          <w:p>
            <w:r>
              <w:t xml:space="preserve">Staff IT training workshop</w:t>
            </w:r>
          </w:p>
        </w:tc>
        <w:tc>
          <w:tcPr>
            <w:tcW w:type="dxa" w:w="2412"/>
          </w:tcPr>
          <w:p>
            <w:r>
              <w:t xml:space="preserve">4</w:t>
            </w:r>
          </w:p>
        </w:tc>
        <w:tc>
          <w:tcPr>
            <w:tcW w:type="dxa" w:w="2412"/>
          </w:tcPr>
          <w:p>
            <w:r>
              <w:t xml:space="preserve">€350.00</w:t>
            </w:r>
          </w:p>
        </w:tc>
        <w:tc>
          <w:tcPr>
            <w:tcW w:type="dxa" w:w="2412"/>
          </w:tcPr>
          <w:p>
            <w:r>
              <w:t xml:space="preserve">€1,400.00</w:t>
            </w:r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Subtotal</w:t>
            </w:r>
          </w:p>
        </w:tc>
        <w:tc>
          <w:tcPr>
            <w:tcW w:type="dxa" w:w="4824"/>
          </w:tcPr>
          <w:p>
            <w:r>
              <w:t xml:space="preserve">€10,960.00</w:t>
            </w:r>
          </w:p>
        </w:tc>
      </w:tr>
      <w:tr>
        <w:tc>
          <w:tcPr>
            <w:tcW w:type="dxa" w:w="4824"/>
            <w:shd w:val="clear" w:color="auto" w:fill="1E8449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1E8449"/>
          </w:tcPr>
          <w:p>
            <w:r>
              <w:rPr>
                <w:b/>
                <w:color w:val="FFFFFF"/>
              </w:rPr>
              <w:t xml:space="preserve">€10,960.00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1E8449"/>
        </w:rPr>
        <w:t>Payment Details:</w:t>
      </w:r>
    </w:p>
    <w:p>
      <w:pPr>
        <w:spacing w:after="0"/>
      </w:pPr>
      <w:r>
        <w:t>Bank: Deutsche Bank  |  IBAN: DE89 3704 0044 0532 0130 00  |  BIC: COBADEFFXXX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