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54360"/>
          <w:sz w:val="32"/>
        </w:rPr>
        <w:t>Meridian Advisory Services</w:t>
      </w:r>
    </w:p>
    <w:p>
      <w:pPr>
        <w:spacing w:before="0" w:after="0"/>
      </w:pPr>
      <w:r>
        <w:t>Floor 7, City Tower, Manchester, M1 4BT</w:t>
      </w:r>
    </w:p>
    <w:p>
      <w:pPr>
        <w:spacing w:before="0" w:after="0"/>
      </w:pPr>
      <w:r>
        <w:t>info@meridianadvisory.co.uk  |  0161 234 5678</w:t>
      </w:r>
    </w:p>
    <w:p>
      <w:pPr>
        <w:spacing w:before="0" w:after="80"/>
      </w:pPr>
      <w:r>
        <w:t>VAT No: 987 654 321</w:t>
      </w:r>
    </w:p>
    <w:p>
      <w:pPr>
        <w:spacing w:after="160"/>
        <w:jc w:val="right"/>
      </w:pPr>
      <w:r>
        <w:rPr>
          <w:b/>
          <w:color w:val="154360"/>
          <w:sz w:val="36"/>
        </w:rPr>
        <w:t>QUOTATION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D5E8F4"/>
          </w:tcPr>
          <w:p>
            <w:r>
              <w:t>Invoice Number</w:t>
            </w:r>
          </w:p>
        </w:tc>
        <w:tc>
          <w:tcPr>
            <w:tcW w:type="dxa" w:w="2412"/>
          </w:tcPr>
          <w:p>
            <w:r>
              <w:t>[Invoice Number]</w:t>
            </w:r>
          </w:p>
        </w:tc>
        <w:tc>
          <w:tcPr>
            <w:tcW w:type="dxa" w:w="2412"/>
            <w:shd w:val="clear" w:color="auto" w:fill="D5E8F4"/>
          </w:tcPr>
          <w:p>
            <w:r>
              <w:t>Invoice Date</w:t>
            </w:r>
          </w:p>
        </w:tc>
        <w:tc>
          <w:tcPr>
            <w:tcW w:type="dxa" w:w="2412"/>
          </w:tcPr>
          <w:p>
            <w:r>
              <w:t>[Invoice Date]</w:t>
            </w:r>
          </w:p>
        </w:tc>
      </w:tr>
      <w:tr>
        <w:tc>
          <w:tcPr>
            <w:tcW w:type="dxa" w:w="2412"/>
            <w:shd w:val="clear" w:color="auto" w:fill="D5E8F4"/>
          </w:tcPr>
          <w:p>
            <w:r>
              <w:t>Valid Until</w:t>
            </w:r>
          </w:p>
        </w:tc>
        <w:tc>
          <w:tcPr>
            <w:tcW w:type="dxa" w:w="2412"/>
          </w:tcPr>
          <w:p>
            <w:r>
              <w:t>[DD/MM/YYYY]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</w:tbl>
    <w:p>
      <w:pPr>
        <w:spacing w:before="120"/>
      </w:pPr>
    </w:p>
    <w:p>
      <w:pPr>
        <w:spacing w:after="0"/>
      </w:pPr>
      <w:r>
        <w:rPr>
          <w:b/>
          <w:color w:val="154360"/>
        </w:rPr>
        <w:t>Bill To:</w:t>
      </w:r>
    </w:p>
    <w:p>
      <w:pPr>
        <w:spacing w:after="0"/>
      </w:pPr>
      <w:r>
        <w:t>[Client Name]</w:t>
      </w:r>
    </w:p>
    <w:p>
      <w:pPr>
        <w:spacing w:after="160"/>
      </w:pPr>
      <w:r>
        <w:t>[Client Address]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54360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412"/>
            <w:shd w:val="clear" w:color="auto" w:fill="154360"/>
          </w:tcPr>
          <w:p>
            <w:r>
              <w:rPr>
                <w:b/>
                <w:color w:val="FFFFFF"/>
              </w:rPr>
              <w:t>Hours</w:t>
            </w:r>
          </w:p>
        </w:tc>
        <w:tc>
          <w:tcPr>
            <w:tcW w:type="dxa" w:w="2412"/>
            <w:shd w:val="clear" w:color="auto" w:fill="154360"/>
          </w:tcPr>
          <w:p>
            <w:r>
              <w:rPr>
                <w:b/>
                <w:color w:val="FFFFFF"/>
              </w:rPr>
              <w:t>Rate</w:t>
            </w:r>
          </w:p>
        </w:tc>
        <w:tc>
          <w:tcPr>
            <w:tcW w:type="dxa" w:w="2412"/>
            <w:shd w:val="clear" w:color="auto" w:fill="154360"/>
          </w:tcPr>
          <w:p>
            <w:r>
              <w:rPr>
                <w:b/>
                <w:color w:val="FFFFFF"/>
              </w:rPr>
              <w:t>Amount</w:t>
            </w:r>
          </w:p>
        </w:tc>
      </w:tr>
      <w:tr>
        <w:tc>
          <w:tcPr>
            <w:tcW w:type="dxa" w:w="2412"/>
          </w:tcPr>
          <w:p>
            <w:r>
              <w:t>Statutory accounts preparation</w:t>
            </w:r>
          </w:p>
        </w:tc>
        <w:tc>
          <w:tcPr>
            <w:tcW w:type="dxa" w:w="2412"/>
          </w:tcPr>
          <w:p>
            <w:r>
              <w:t>10</w:t>
            </w:r>
          </w:p>
        </w:tc>
        <w:tc>
          <w:tcPr>
            <w:tcW w:type="dxa" w:w="2412"/>
          </w:tcPr>
          <w:p>
            <w:r>
              <w:t>£120.00</w:t>
            </w:r>
          </w:p>
        </w:tc>
        <w:tc>
          <w:tcPr>
            <w:tcW w:type="dxa" w:w="2412"/>
          </w:tcPr>
          <w:p>
            <w:r>
              <w:t>£1,200.00</w:t>
            </w:r>
          </w:p>
        </w:tc>
      </w:tr>
      <w:tr>
        <w:tc>
          <w:tcPr>
            <w:tcW w:type="dxa" w:w="2412"/>
          </w:tcPr>
          <w:p>
            <w:r>
              <w:t>Management accounts — Q1 review</w:t>
            </w:r>
          </w:p>
        </w:tc>
        <w:tc>
          <w:tcPr>
            <w:tcW w:type="dxa" w:w="2412"/>
          </w:tcPr>
          <w:p>
            <w:r>
              <w:t>5</w:t>
            </w:r>
          </w:p>
        </w:tc>
        <w:tc>
          <w:tcPr>
            <w:tcW w:type="dxa" w:w="2412"/>
          </w:tcPr>
          <w:p>
            <w:r>
              <w:t>£95.00</w:t>
            </w:r>
          </w:p>
        </w:tc>
        <w:tc>
          <w:tcPr>
            <w:tcW w:type="dxa" w:w="2412"/>
          </w:tcPr>
          <w:p>
            <w:r>
              <w:t>£475.00</w:t>
            </w:r>
          </w:p>
        </w:tc>
      </w:tr>
    </w:tbl>
    <w:p>
      <w:pPr>
        <w:spacing w:before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Sub-Total</w:t>
            </w:r>
          </w:p>
        </w:tc>
        <w:tc>
          <w:tcPr>
            <w:tcW w:type="dxa" w:w="4824"/>
          </w:tcPr>
          <w:p>
            <w:r>
              <w:t>£1,675.00</w:t>
            </w:r>
          </w:p>
        </w:tc>
      </w:tr>
      <w:tr>
        <w:tc>
          <w:tcPr>
            <w:tcW w:type="dxa" w:w="4824"/>
          </w:tcPr>
          <w:p>
            <w:r>
              <w:t>VAT (20%)</w:t>
            </w:r>
          </w:p>
        </w:tc>
        <w:tc>
          <w:tcPr>
            <w:tcW w:type="dxa" w:w="4824"/>
          </w:tcPr>
          <w:p>
            <w:r>
              <w:t>£335.00</w:t>
            </w:r>
          </w:p>
        </w:tc>
      </w:tr>
      <w:tr>
        <w:tc>
          <w:tcPr>
            <w:tcW w:type="dxa" w:w="4824"/>
            <w:shd w:val="clear" w:color="auto" w:fill="154360"/>
          </w:tcPr>
          <w:p>
            <w:r>
              <w:rPr>
                <w:b/>
                <w:color w:val="FFFFFF"/>
              </w:rPr>
              <w:t>Total Due</w:t>
            </w:r>
          </w:p>
        </w:tc>
        <w:tc>
          <w:tcPr>
            <w:tcW w:type="dxa" w:w="4824"/>
            <w:shd w:val="clear" w:color="auto" w:fill="154360"/>
          </w:tcPr>
          <w:p>
            <w:r>
              <w:rPr>
                <w:b/>
                <w:color w:val="FFFFFF"/>
              </w:rPr>
              <w:t>£2,010.00</w:t>
            </w:r>
          </w:p>
        </w:tc>
      </w:tr>
    </w:tbl>
    <w:p>
      <w:pPr>
        <w:spacing w:before="160"/>
      </w:pPr>
    </w:p>
    <w:p>
      <w:pPr>
        <w:spacing w:after="0"/>
      </w:pPr>
      <w:r>
        <w:rPr>
          <w:b/>
          <w:color w:val="154360"/>
        </w:rPr>
        <w:t>Payment Details:</w:t>
      </w:r>
    </w:p>
    <w:p>
      <w:pPr>
        <w:spacing w:after="0"/>
      </w:pPr>
      <w:r>
        <w:t>Bank: NatWest  |  Sort Code: 60-40-05  |  Account: 45678901</w:t>
      </w:r>
    </w:p>
    <w:p>
      <w:r>
        <w:t>Payment due within 30 days of invoice date.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