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E8449"/>
          <w:sz w:val="32"/>
        </w:rPr>
        <w:t>TechStream Solutions GmbH</w:t>
      </w:r>
    </w:p>
    <w:p>
      <w:pPr>
        <w:spacing w:before="0" w:after="0"/>
      </w:pPr>
      <w:r>
        <w:t>Hauptstrasse 120, 10117 Berlin, Germany</w:t>
      </w:r>
    </w:p>
    <w:p>
      <w:pPr>
        <w:spacing w:before="0" w:after="0"/>
      </w:pPr>
      <w:r>
        <w:t>info@techstream.de  |  +49 30 1234 5678</w:t>
      </w:r>
    </w:p>
    <w:p>
      <w:pPr>
        <w:spacing w:before="0" w:after="80"/>
      </w:pPr>
      <w:r>
        <w:t>USt-IdNr.: DE 123 456 789</w:t>
      </w:r>
    </w:p>
    <w:p>
      <w:pPr>
        <w:spacing w:after="160"/>
        <w:jc w:val="right"/>
      </w:pPr>
      <w:r>
        <w:rPr>
          <w:b/>
          <w:color w:val="1E8449"/>
          <w:sz w:val="36"/>
        </w:rPr>
        <w:t>QUOTATION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D5E8F4"/>
          </w:tcPr>
          <w:p>
            <w:r>
              <w:t>Ref #</w:t>
            </w:r>
          </w:p>
        </w:tc>
        <w:tc>
          <w:tcPr>
            <w:tcW w:type="dxa" w:w="2412"/>
          </w:tcPr>
          <w:p>
            <w:r>
              <w:t>[Ref #]</w:t>
            </w:r>
          </w:p>
        </w:tc>
        <w:tc>
          <w:tcPr>
            <w:tcW w:type="dxa" w:w="2412"/>
            <w:shd w:val="clear" w:color="auto" w:fill="D5E8F4"/>
          </w:tcPr>
          <w:p>
            <w:r>
              <w:t>Date</w:t>
            </w:r>
          </w:p>
        </w:tc>
        <w:tc>
          <w:tcPr>
            <w:tcW w:type="dxa" w:w="2412"/>
          </w:tcPr>
          <w:p>
            <w:r>
              <w:t>[Date]</w:t>
            </w:r>
          </w:p>
        </w:tc>
      </w:tr>
      <w:tr>
        <w:tc>
          <w:tcPr>
            <w:tcW w:type="dxa" w:w="2412"/>
            <w:shd w:val="clear" w:color="auto" w:fill="D5E8F4"/>
          </w:tcPr>
          <w:p>
            <w:r>
              <w:t>Valid Until</w:t>
            </w:r>
          </w:p>
        </w:tc>
        <w:tc>
          <w:tcPr>
            <w:tcW w:type="dxa" w:w="2412"/>
          </w:tcPr>
          <w:p>
            <w:r>
              <w:t>[DD/MM/YYYY]</w:t>
            </w:r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</w:tr>
    </w:tbl>
    <w:p>
      <w:pPr>
        <w:spacing w:before="120"/>
      </w:pPr>
    </w:p>
    <w:p>
      <w:pPr>
        <w:spacing w:after="0"/>
      </w:pPr>
      <w:r>
        <w:rPr>
          <w:b/>
          <w:color w:val="1E8449"/>
        </w:rPr>
        <w:t>Bill To:</w:t>
      </w:r>
    </w:p>
    <w:p>
      <w:pPr>
        <w:spacing w:after="0"/>
      </w:pPr>
      <w:r>
        <w:t>[Customer Name]</w:t>
      </w:r>
    </w:p>
    <w:p>
      <w:pPr>
        <w:spacing w:after="160"/>
      </w:pPr>
      <w:r>
        <w:t>[Customer Address]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1E8449"/>
          </w:tcPr>
          <w:p>
            <w:r>
              <w:rPr>
                <w:b/>
                <w:color w:val="FFFFFF"/>
              </w:rPr>
              <w:t>Service</w:t>
            </w:r>
          </w:p>
        </w:tc>
        <w:tc>
          <w:tcPr>
            <w:tcW w:type="dxa" w:w="2412"/>
            <w:shd w:val="clear" w:color="auto" w:fill="1E8449"/>
          </w:tcPr>
          <w:p>
            <w:r>
              <w:rPr>
                <w:b/>
                <w:color w:val="FFFFFF"/>
              </w:rPr>
              <w:t>Hours</w:t>
            </w:r>
          </w:p>
        </w:tc>
        <w:tc>
          <w:tcPr>
            <w:tcW w:type="dxa" w:w="2412"/>
            <w:shd w:val="clear" w:color="auto" w:fill="1E8449"/>
          </w:tcPr>
          <w:p>
            <w:r>
              <w:rPr>
                <w:b/>
                <w:color w:val="FFFFFF"/>
              </w:rPr>
              <w:t>Rate (EUR)</w:t>
            </w:r>
          </w:p>
        </w:tc>
        <w:tc>
          <w:tcPr>
            <w:tcW w:type="dxa" w:w="2412"/>
            <w:shd w:val="clear" w:color="auto" w:fill="1E8449"/>
          </w:tcPr>
          <w:p>
            <w:r>
              <w:rPr>
                <w:b/>
                <w:color w:val="FFFFFF"/>
              </w:rPr>
              <w:t>Total (EUR)</w:t>
            </w:r>
          </w:p>
        </w:tc>
      </w:tr>
      <w:tr>
        <w:tc>
          <w:tcPr>
            <w:tcW w:type="dxa" w:w="2412"/>
          </w:tcPr>
          <w:p>
            <w:r>
              <w:t>Network infrastructure audit</w:t>
            </w:r>
          </w:p>
        </w:tc>
        <w:tc>
          <w:tcPr>
            <w:tcW w:type="dxa" w:w="2412"/>
          </w:tcPr>
          <w:p>
            <w:r>
              <w:t>8</w:t>
            </w:r>
          </w:p>
        </w:tc>
        <w:tc>
          <w:tcPr>
            <w:tcW w:type="dxa" w:w="2412"/>
          </w:tcPr>
          <w:p>
            <w:r>
              <w:t>EUR 200.00</w:t>
            </w:r>
          </w:p>
        </w:tc>
        <w:tc>
          <w:tcPr>
            <w:tcW w:type="dxa" w:w="2412"/>
          </w:tcPr>
          <w:p>
            <w:r>
              <w:t>EUR 1,600.00</w:t>
            </w:r>
          </w:p>
        </w:tc>
      </w:tr>
      <w:tr>
        <w:tc>
          <w:tcPr>
            <w:tcW w:type="dxa" w:w="2412"/>
          </w:tcPr>
          <w:p>
            <w:r>
              <w:t>Cloud migration consultation</w:t>
            </w:r>
          </w:p>
        </w:tc>
        <w:tc>
          <w:tcPr>
            <w:tcW w:type="dxa" w:w="2412"/>
          </w:tcPr>
          <w:p>
            <w:r>
              <w:t>16</w:t>
            </w:r>
          </w:p>
        </w:tc>
        <w:tc>
          <w:tcPr>
            <w:tcW w:type="dxa" w:w="2412"/>
          </w:tcPr>
          <w:p>
            <w:r>
              <w:t>EUR 185.00</w:t>
            </w:r>
          </w:p>
        </w:tc>
        <w:tc>
          <w:tcPr>
            <w:tcW w:type="dxa" w:w="2412"/>
          </w:tcPr>
          <w:p>
            <w:r>
              <w:t>EUR 2,960.00</w:t>
            </w:r>
          </w:p>
        </w:tc>
      </w:tr>
    </w:tbl>
    <w:p>
      <w:pPr>
        <w:spacing w:before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Subtotal</w:t>
            </w:r>
          </w:p>
        </w:tc>
        <w:tc>
          <w:tcPr>
            <w:tcW w:type="dxa" w:w="4824"/>
          </w:tcPr>
          <w:p>
            <w:r>
              <w:t>EUR 4,560.00</w:t>
            </w:r>
          </w:p>
        </w:tc>
      </w:tr>
      <w:tr>
        <w:tc>
          <w:tcPr>
            <w:tcW w:type="dxa" w:w="4824"/>
            <w:shd w:val="clear" w:color="auto" w:fill="1E8449"/>
          </w:tcPr>
          <w:p>
            <w:r>
              <w:rPr>
                <w:b/>
                <w:color w:val="FFFFFF"/>
              </w:rPr>
              <w:t>Total</w:t>
            </w:r>
          </w:p>
        </w:tc>
        <w:tc>
          <w:tcPr>
            <w:tcW w:type="dxa" w:w="4824"/>
            <w:shd w:val="clear" w:color="auto" w:fill="1E8449"/>
          </w:tcPr>
          <w:p>
            <w:r>
              <w:rPr>
                <w:b/>
                <w:color w:val="FFFFFF"/>
              </w:rPr>
              <w:t>EUR 4,560.00</w:t>
            </w:r>
          </w:p>
        </w:tc>
      </w:tr>
    </w:tbl>
    <w:p>
      <w:pPr>
        <w:spacing w:before="160"/>
      </w:pPr>
    </w:p>
    <w:p>
      <w:pPr>
        <w:spacing w:after="0"/>
      </w:pPr>
      <w:r>
        <w:rPr>
          <w:b/>
          <w:color w:val="1E8449"/>
        </w:rPr>
        <w:t>Payment Details:</w:t>
      </w:r>
    </w:p>
    <w:p>
      <w:pPr>
        <w:spacing w:after="0"/>
      </w:pPr>
      <w:r>
        <w:t>Bank: Deutsche Bank  |  IBAN: DE89 3704 0044 0532 0130 00  |  BIC: COBADEFFXXX</w:t>
      </w:r>
    </w:p>
    <w:p>
      <w:r>
        <w:t>Payment due within 30 days of invoice date.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