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641E16"/>
          <w:sz w:val="32"/>
        </w:rPr>
        <w:t>Thornton &amp; Associates Solicitors</w:t>
      </w:r>
    </w:p>
    <w:p>
      <w:pPr>
        <w:spacing w:before="0" w:after="0"/>
      </w:pPr>
      <w:r>
        <w:t>4 Gray's Inn Square, London, WC1R 5AH</w:t>
      </w:r>
    </w:p>
    <w:p>
      <w:pPr>
        <w:spacing w:before="0" w:after="0"/>
      </w:pPr>
      <w:r>
        <w:t>enquiries@thorntonlaw.co.uk  |  020 7242 8910</w:t>
      </w:r>
    </w:p>
    <w:p>
      <w:pPr>
        <w:spacing w:after="160"/>
        <w:jc w:val="right"/>
      </w:pPr>
      <w:r>
        <w:rPr>
          <w:b/>
          <w:color w:val="641E16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Matter Reference</w:t>
            </w:r>
          </w:p>
        </w:tc>
        <w:tc>
          <w:tcPr>
            <w:tcW w:type="dxa" w:w="2412"/>
          </w:tcPr>
          <w:p>
            <w:r>
              <w:t>[Matter Reference]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[Date]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641E16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Professional Service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Fee (GBP)</w:t>
            </w:r>
          </w:p>
        </w:tc>
      </w:tr>
      <w:tr>
        <w:tc>
          <w:tcPr>
            <w:tcW w:type="dxa" w:w="3216"/>
          </w:tcPr>
          <w:p>
            <w:r>
              <w:t>Residential conveyancing — freehold purchase</w:t>
            </w:r>
          </w:p>
        </w:tc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£900.00</w:t>
            </w:r>
          </w:p>
        </w:tc>
      </w:tr>
      <w:tr>
        <w:tc>
          <w:tcPr>
            <w:tcW w:type="dxa" w:w="3216"/>
          </w:tcPr>
          <w:p>
            <w:r>
              <w:t>Land Registry and disbursements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£350.00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£1,250.00</w:t>
            </w:r>
          </w:p>
        </w:tc>
      </w:tr>
      <w:tr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>£1,250.00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641E16"/>
        </w:rPr>
        <w:t>Payment Details:</w:t>
      </w:r>
    </w:p>
    <w:p>
      <w:pPr>
        <w:spacing w:after="0"/>
      </w:pPr>
      <w:r>
        <w:t>Bank: Barclays  |  Sort Code: 20-00-00  |  Account: 78901234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