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18" w:space="8"/>
        </w:pBdr>
        <w:spacing w:after="0" w:before="2400"/>
      </w:pPr>
      <w:r>
        <w:rPr>
          <w:b/>
          <w:bCs/>
          <w:color w:val="1A2B4A"/>
          <w:sz w:val="56"/>
          <w:szCs w:val="56"/>
        </w:rPr>
        <w:t xml:space="preserve">RADAR POLÍTICO</w:t>
      </w:r>
    </w:p>
    <w:p>
      <w:pPr>
        <w:spacing w:after="0" w:before="240"/>
      </w:pPr>
      <w:r>
        <w:rPr>
          <w:color w:val="8B1A1A"/>
          <w:sz w:val="36"/>
          <w:szCs w:val="36"/>
        </w:rPr>
        <w:t xml:space="preserve">Gestão de Crise em Mídias Sociais</w:t>
      </w:r>
    </w:p>
    <w:p>
      <w:pPr>
        <w:spacing w:after="600" w:before="120"/>
      </w:pPr>
      <w:r>
        <w:rPr>
          <w:i/>
          <w:iCs/>
          <w:color w:val="555555"/>
          <w:sz w:val="26"/>
          <w:szCs w:val="26"/>
        </w:rPr>
        <w:t xml:space="preserve">Referências, melhores práticas e estratégia de implementação</w:t>
      </w:r>
    </w:p>
    <w:p>
      <w:pPr>
        <w:spacing w:after="160" w:line="276"/>
      </w:pPr>
      <w:r>
        <w:rPr>
          <w:b/>
          <w:bCs/>
        </w:rPr>
        <w:t xml:space="preserve">Cliente / aplicação: </w:t>
      </w:r>
      <w:r>
        <w:t xml:space="preserve">SECOM — Monitoramento político municipal (Alagoinhas/BA)</w:t>
      </w:r>
    </w:p>
    <w:p>
      <w:pPr>
        <w:spacing w:after="160" w:line="276"/>
      </w:pPr>
      <w:r>
        <w:rPr>
          <w:b/>
          <w:bCs/>
        </w:rPr>
        <w:t xml:space="preserve">Base teórica: </w:t>
      </w:r>
      <w:r>
        <w:t xml:space="preserve">Coombs (SCCT) · Benoit (IRT) · frameworks operacionais de social listening</w:t>
      </w:r>
    </w:p>
    <w:p>
      <w:pPr>
        <w:spacing w:after="160" w:line="276"/>
      </w:pPr>
      <w:r>
        <w:rPr>
          <w:b/>
          <w:bCs/>
        </w:rPr>
        <w:t xml:space="preserve">Data: </w:t>
      </w:r>
      <w:r>
        <w:t xml:space="preserve">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Por que este documento existe</w:t>
      </w:r>
    </w:p>
    <w:p>
      <w:pPr>
        <w:spacing w:after="160" w:line="276"/>
      </w:pPr>
      <w:r>
        <w:t xml:space="preserve">O Radar Político já faz a parte técnica difícil: captura conteúdo do Instagram, processa com IA, gera score de risco e dispara alertas. O que falta para transformá-lo de </w:t>
      </w:r>
      <w:r>
        <w:rPr>
          <w:i/>
          <w:iCs/>
        </w:rPr>
        <w:t xml:space="preserve">ferramenta de monitoramento</w:t>
      </w:r>
      <w:r>
        <w:t xml:space="preserve"> em </w:t>
      </w:r>
      <w:r>
        <w:rPr>
          <w:i/>
          <w:iCs/>
        </w:rPr>
        <w:t xml:space="preserve">plataforma de gestão de crise</w:t>
      </w:r>
      <w:r>
        <w:t xml:space="preserve"> é um arcabouço conceitual que diga, diante de cada alerta: que tipo de crise é esta, qual a gravidade real, e qual resposta o gestor deveria adotar.</w:t>
      </w:r>
    </w:p>
    <w:p>
      <w:pPr>
        <w:spacing w:after="160" w:line="276"/>
      </w:pPr>
      <w:r>
        <w:t xml:space="preserve">Este documento reúne as melhores referências mundiais (academia de comunicação de crise) e brasileiras (estrategistas políticos vitoriosos), extrai as práticas aplicáveis e as converte em uma estratégia concreta de implementação no Radar.</w:t>
      </w:r>
    </w:p>
    <w:p>
      <w:pPr>
        <w:spacing w:after="160" w:line="276"/>
      </w:pPr>
      <w:r>
        <w:rPr>
          <w:b/>
          <w:bCs/>
        </w:rPr>
        <w:t xml:space="preserve">Nota de honestidade metodológica: </w:t>
      </w:r>
      <w:r>
        <w:t xml:space="preserve">a literatura acadêmica de crise é majoritariamente internacional e voltada a marcas/organizações. No Brasil, o melhor conhecimento sobre crise política está em manuais práticos, biografias de marqueteiros e ciência política. Misturamos as duas fontes deliberadamente — a teoria dá o esqueleto, a prática brasileira dá o contexto eleitoral e municipal.</w:t>
      </w:r>
    </w:p>
    <w:p>
      <w:pPr>
        <w:pStyle w:val="Heading1"/>
      </w:pPr>
      <w:r>
        <w:t xml:space="preserve">2. Referências mundiais em gestão de crise</w:t>
      </w:r>
    </w:p>
    <w:p>
      <w:pPr>
        <w:pStyle w:val="Heading2"/>
      </w:pPr>
      <w:r>
        <w:t xml:space="preserve">2.1 W. Timothy Coombs — Situational Crisis Communication Theory (SCCT)</w:t>
      </w:r>
    </w:p>
    <w:p>
      <w:pPr>
        <w:spacing w:after="160" w:line="276"/>
      </w:pPr>
      <w:r>
        <w:rPr>
          <w:b/>
          <w:bCs/>
        </w:rPr>
        <w:t xml:space="preserve">Quem é: </w:t>
      </w:r>
      <w:r>
        <w:t xml:space="preserve">Professor de comunicação (PhD em Issues Management, Purdue), o nome mais citado e empiricamente testado da área. Desenvolveu a SCCT entre os anos 1990 e a consolidou em 2007.</w:t>
      </w:r>
    </w:p>
    <w:p>
      <w:pPr>
        <w:spacing w:after="160" w:line="276"/>
      </w:pPr>
      <w:r>
        <w:rPr>
          <w:b/>
          <w:bCs/>
        </w:rPr>
        <w:t xml:space="preserve">Por que é a referência número 1 para o Radar: </w:t>
      </w:r>
      <w:r>
        <w:t xml:space="preserve">a SCCT é centrada na percepção do público — exatamente o que o Radar mede. Ela ensina a classificar cada crise por nível de responsabilidade atribuída ao gestor e a casar a resposta a essa classificação.</w:t>
      </w:r>
    </w:p>
    <w:p>
      <w:pPr>
        <w:spacing w:after="160" w:line="276"/>
      </w:pPr>
      <w:r>
        <w:rPr>
          <w:b/>
          <w:bCs/>
        </w:rPr>
        <w:t xml:space="preserve">Conceito central — os três clusters de crise: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Vítima: </w:t>
      </w:r>
      <w:r>
        <w:t xml:space="preserve">o gestor sofre a crise (boato, ataque coordenado, desastre natural). Baixa responsabilidade atribuída.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Acidental: </w:t>
      </w:r>
      <w:r>
        <w:t xml:space="preserve">erro não-intencional (declaração mal interpretada, falha operacional). Responsabilidade média.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Intencional / evitável: </w:t>
      </w:r>
      <w:r>
        <w:t xml:space="preserve">ação que o público vê como deliberada ou negligente (desvio, promessa quebrada, má gestão conhecida). Alta responsabilidade — a mais perigosa.</w:t>
      </w:r>
    </w:p>
    <w:p>
      <w:pPr>
        <w:spacing w:after="160" w:line="276"/>
      </w:pPr>
      <w:r>
        <w:rPr>
          <w:b/>
          <w:bCs/>
        </w:rPr>
        <w:t xml:space="preserve">Leituras-chave: </w:t>
      </w:r>
      <w:r>
        <w:rPr>
          <w:i/>
          <w:iCs/>
        </w:rPr>
        <w:t xml:space="preserve">Protecting Organization Reputations During a Crisis</w:t>
      </w:r>
      <w:r>
        <w:t xml:space="preserve"> (Corporate Reputation Review, 2007); capítulo na </w:t>
      </w:r>
      <w:r>
        <w:rPr>
          <w:i/>
          <w:iCs/>
        </w:rPr>
        <w:t xml:space="preserve">The Handbook of Crisis Communication</w:t>
      </w:r>
      <w:r>
        <w:t xml:space="preserve"> (2022); </w:t>
      </w:r>
      <w:r>
        <w:rPr>
          <w:i/>
          <w:iCs/>
        </w:rPr>
        <w:t xml:space="preserve">Revising SCCT: The Influences of Social Media</w:t>
      </w:r>
      <w:r>
        <w:t xml:space="preserve"> (2017).</w:t>
      </w:r>
    </w:p>
    <w:p>
      <w:pPr>
        <w:pStyle w:val="Heading2"/>
      </w:pPr>
      <w:r>
        <w:t xml:space="preserve">2.2 William L. Benoit — Image Repair Theory (IRT)</w:t>
      </w:r>
    </w:p>
    <w:p>
      <w:pPr>
        <w:spacing w:after="160" w:line="276"/>
      </w:pPr>
      <w:r>
        <w:rPr>
          <w:b/>
          <w:bCs/>
        </w:rPr>
        <w:t xml:space="preserve">Quem é: </w:t>
      </w:r>
      <w:r>
        <w:t xml:space="preserve">Acadêmico americano de comunicação política (Univ. of Alabama at Birmingham), criador da teoria de reparação de imagem, aplicada extensivamente a casos políticos reais.</w:t>
      </w:r>
    </w:p>
    <w:p>
      <w:pPr>
        <w:spacing w:after="160" w:line="276"/>
      </w:pPr>
      <w:r>
        <w:rPr>
          <w:b/>
          <w:bCs/>
        </w:rPr>
        <w:t xml:space="preserve">Por que tê-lo como referência: </w:t>
      </w:r>
      <w:r>
        <w:t xml:space="preserve">enquanto a SCCT diz QUAL é a crise, a IRT dá o cardápio de RESPOSTAS possíveis. São cinco estratégias com 14 táticas. Para o Radar, isso permite sugerir ao gestor a resposta adequada — e prever que resposta o adversário dará.</w:t>
      </w:r>
    </w:p>
    <w:p>
      <w:pPr>
        <w:spacing w:after="160" w:line="276"/>
      </w:pPr>
      <w:r>
        <w:rPr>
          <w:b/>
          <w:bCs/>
        </w:rPr>
        <w:t xml:space="preserve">As cinco estratégias de Benoit: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Negação </w:t>
      </w:r>
      <w:r>
        <w:t xml:space="preserve">— negar o fato ou transferir a culpa.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Evasão de responsabilidade </w:t>
      </w:r>
      <w:r>
        <w:t xml:space="preserve">— alegar provocação, acidente, boa intenção ou falta de controle.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Redução da ofensa </w:t>
      </w:r>
      <w:r>
        <w:t xml:space="preserve">— reforçar feitos positivos, minimizar o dano, atacar o acusador, compensar.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Ação corretiva </w:t>
      </w:r>
      <w:r>
        <w:t xml:space="preserve">— prometer resolver e evitar repetição. (A mais eficaz na maioria dos casos.)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Mortificação </w:t>
      </w:r>
      <w:r>
        <w:t xml:space="preserve">— assumir o erro e pedir desculpas.</w:t>
      </w:r>
    </w:p>
    <w:p>
      <w:pPr>
        <w:spacing w:after="160" w:line="276"/>
      </w:pPr>
      <w:r>
        <w:rPr>
          <w:b/>
          <w:bCs/>
        </w:rPr>
        <w:t xml:space="preserve">Leituras-chave: </w:t>
      </w:r>
      <w:r>
        <w:rPr>
          <w:i/>
          <w:iCs/>
        </w:rPr>
        <w:t xml:space="preserve">Accounts, Excuses, and Apologies: A Theory of Image Restoration Strategies</w:t>
      </w:r>
      <w:r>
        <w:t xml:space="preserve"> (1995); </w:t>
      </w:r>
      <w:r>
        <w:rPr>
          <w:i/>
          <w:iCs/>
        </w:rPr>
        <w:t xml:space="preserve">Image Repair Discourse and Crisis Communication</w:t>
      </w:r>
      <w:r>
        <w:t xml:space="preserve"> (Public Relations Review, 1997).</w:t>
      </w:r>
    </w:p>
    <w:p>
      <w:pPr>
        <w:pStyle w:val="Heading2"/>
      </w:pPr>
      <w:r>
        <w:t xml:space="preserve">2.3 A diferença prática entre as duas — e por que você precisa das duas</w:t>
      </w:r>
    </w:p>
    <w:p>
      <w:pPr>
        <w:spacing w:after="160" w:line="276"/>
      </w:pPr>
      <w:r>
        <w:t xml:space="preserve">A IRT é centrada na organização (que mensagem enviar). A SCCT é centrada no público (como as pessoas atribuem culpa). O Radar opera do lado do público: ele monitora percepção. Logo, a SCCT é o esqueleto principal do seu score, e a IRT é o módulo de recomendação de resposta. Coombs inclusive parte do princípio — alinhado a Benoit — de que gestão de crise é mais sobre percepção do que sobre realidade.</w:t>
      </w:r>
    </w:p>
    <w:p>
      <w:pPr>
        <w:pStyle w:val="Heading2"/>
      </w:pPr>
      <w:r>
        <w:t xml:space="preserve">2.4 Frameworks operacionais (mercado, não academia)</w:t>
      </w:r>
    </w:p>
    <w:p>
      <w:pPr>
        <w:spacing w:after="160" w:line="276"/>
      </w:pPr>
      <w:r>
        <w:t xml:space="preserve">Dos guias profissionais atuais (Sprinklr, Hootsuite, PRSA), três conceitos são diretamente codificáveis no Radar: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Os três sinais simultâneos (Sprinklr): </w:t>
      </w:r>
      <w:r>
        <w:t xml:space="preserve">volume (pico de menções), sentimento (queda no positivo / alta no negativo) e autoridade da fonte (influenciadores, mídia ou contas verificadas entrando na conversa). Gatilho de referência: pico de 3x em menções + queda de 20% no sentimento em 1 hora dispara escalonamento automático.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 regra dos 5 Ws (PRSA): </w:t>
      </w:r>
      <w:r>
        <w:t xml:space="preserve">Quem? O quê? Onde? Quando? Por que está escalando? — checklist para classificar qualquer alerta com a cabeça fria.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 janela das 24 horas: </w:t>
      </w:r>
      <w:r>
        <w:t xml:space="preserve">96% das crises de marca se espalham internacionalmente em 24h, e o primeiro dia após a descoberta é decisivo. Para política municipal, a janela é ainda menor — horas.</w:t>
      </w:r>
    </w:p>
    <w:p>
      <w:r>
        <w:br w:type="page"/>
      </w:r>
    </w:p>
    <w:p>
      <w:pPr>
        <w:pStyle w:val="Heading1"/>
      </w:pPr>
      <w:r>
        <w:t xml:space="preserve">3. Estrategistas políticos brasileiros de referência</w:t>
      </w:r>
    </w:p>
    <w:p>
      <w:pPr>
        <w:spacing w:after="160" w:line="276"/>
      </w:pPr>
      <w:r>
        <w:rPr>
          <w:b/>
          <w:bCs/>
        </w:rPr>
        <w:t xml:space="preserve">Ressalva ética importante: </w:t>
      </w:r>
      <w:r>
        <w:t xml:space="preserve">vários dos maiores nomes do marketing político brasileiro estão associados a escândalos (Operação Lava-Jato). Eles são listados aqui como estudo de TÉCNICA — narrativa, posicionamento, gestão de imagem sob ataque — não como modelo de conduta. Separe o que se aprende do que não se imita.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Estrategista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Histórico de vitórias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estudar para o Radar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João Santana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campanhas presidenciais vitoriosas (Chávez/Venezuela, Funes/El Salvador, Medina/Rep. Dominicana, J.E. Santos/Angola). No Brasil: Lula 2006 e as duas vitórias de Dilma.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Caso máximo de gestão de narrativa SOB ATAQUE, conduzindo campanhas no auge de escândalos. Preso na Lava-Jato — estude a técnica, não a conduta.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Duda Mendonça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Sócio inicial de Santana. Responsável pela guinada de imagem de Lula em 2002 (“Lulinha paz e amor”).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Caso clássico de REPOSICIONAMENTO de imagem — a própria essência da IRT de Benoit aplicada na prática brasileira.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Renato Pereira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Campanhas vitoriosas de Sérgio Cabral, Eduardo Paes e Pezão no Rio de Janeiro.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Eixo em gestão MUNICIPAL/estadual — o universo mais próximo do Radar (prefeituras).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Lula Guimarães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Doria à prefeitura de SP em 2016 (de ~3% à vitória no 1º turno); presidencial de Marina Silva.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Construção rápida de candidato desconhecido — gestão de percepção acelerada.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Marcelo Vitorino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+25 anos. Pioneiro na transição do tradicional para o digital. Lista Washington COMPOL dos 100 mais influentes do mundo.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mais relevante para o nicho DIGITAL do Radar — monitoramento e comunicação online.</w:t>
            </w:r>
          </w:p>
        </w:tc>
      </w:tr>
    </w:tbl>
    <w:p>
      <w:pPr>
        <w:pStyle w:val="Heading2"/>
      </w:pPr>
      <w:r>
        <w:t xml:space="preserve">3.1 Fontes acadêmicas e institucionais brasileiras</w:t>
      </w:r>
    </w:p>
    <w:p>
      <w:pPr>
        <w:spacing w:after="160" w:line="276"/>
      </w:pPr>
      <w:r>
        <w:t xml:space="preserve">Para fundamentação séria sobre monitoramento de redes e desinformação política no Brasil, priorize: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Wilson Gomes (UFBA) — </w:t>
      </w:r>
      <w:r>
        <w:t xml:space="preserve">referência em comunicação política digital, e baiano, o que conecta com o contexto de Alagoinhas.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FGV/DAPP </w:t>
      </w:r>
      <w:r>
        <w:t xml:space="preserve">(Diretoria de Análise de Políticas Públicas) — produz os principais estudos de monitoramento de redes e desinformação do país.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NetLab/UFRJ — </w:t>
      </w:r>
      <w:r>
        <w:t xml:space="preserve">laboratório de referência em desinformação e redes coordenadas; metodologias diretamente aplicáveis à detecção de padrões coordenados que o Radar já faz.</w:t>
      </w:r>
    </w:p>
    <w:p>
      <w:pPr>
        <w:spacing w:after="160" w:line="276"/>
      </w:pPr>
      <w:r>
        <w:rPr>
          <w:b/>
          <w:bCs/>
        </w:rPr>
        <w:t xml:space="preserve">Sobre o terreno em que o Radar opera: </w:t>
      </w:r>
      <w:r>
        <w:t xml:space="preserve">a literatura mostra que no Brasil as fake news políticas circulam principalmente por WhatsApp e Facebook, com forte componente regional (Nordeste entre as regiões de maior disseminação). Isso reforça a importância de o Radar cobrir não só Instagram, mas mapear repercussão cruzada.</w:t>
      </w:r>
    </w:p>
    <w:p>
      <w:r>
        <w:br w:type="page"/>
      </w:r>
    </w:p>
    <w:p>
      <w:pPr>
        <w:pStyle w:val="Heading1"/>
      </w:pPr>
      <w:r>
        <w:t xml:space="preserve">4. Estratégia de implementação no Radar Político</w:t>
      </w:r>
    </w:p>
    <w:p>
      <w:pPr>
        <w:spacing w:after="160" w:line="276"/>
      </w:pPr>
      <w:r>
        <w:t xml:space="preserve">A seguir, a tradução das referências em features e fluxos concretos para o pipeline atual (Apify → Python → Claude → Sheets → dashboard).</w:t>
      </w:r>
    </w:p>
    <w:p>
      <w:pPr>
        <w:pStyle w:val="Heading2"/>
      </w:pPr>
      <w:r>
        <w:t xml:space="preserve">4.1 Classificador SCCT no radar_agente.py</w:t>
      </w:r>
    </w:p>
    <w:p>
      <w:pPr>
        <w:spacing w:after="160" w:line="276"/>
      </w:pPr>
      <w:r>
        <w:t xml:space="preserve">Adicione ao prompt do agente um campo de classificação por cluster de Coombs. Cada post/evento detectado recebe uma etiqueta: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cluster_crise: </w:t>
      </w:r>
      <w:r>
        <w:t xml:space="preserve">“vitima” | “acidental” | “intencional”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responsabilidade_atribuida: </w:t>
      </w:r>
      <w:r>
        <w:t xml:space="preserve">0–100 (quanto o público culpa o gestor)</w:t>
      </w:r>
    </w:p>
    <w:p>
      <w:pPr>
        <w:spacing w:after="160" w:line="276"/>
      </w:pPr>
      <w:r>
        <w:t xml:space="preserve">Isso refina o seu score de risco atual: uma crise “intencional” com alta responsabilidade atribuída deve pesar muito mais que um boato no cluster “vítima”, mesmo com volume parecido.</w:t>
      </w:r>
    </w:p>
    <w:p>
      <w:pPr>
        <w:pStyle w:val="Heading2"/>
      </w:pPr>
      <w:r>
        <w:t xml:space="preserve">4.2 Motor de três sinais (gatilho de alerta)</w:t>
      </w:r>
    </w:p>
    <w:p>
      <w:pPr>
        <w:spacing w:after="160" w:line="276"/>
      </w:pPr>
      <w:r>
        <w:t xml:space="preserve">Substitua/complemente o disparo de alerta WhatsApp por uma regra de convergência dos três sinais da Sprinklr: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 no Radar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Gatilho sugerido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Nº de menções/posts por perfil monitorado vs. média móvel de 7 dias (você já tem a memória contextual).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Pico ≥ 3x a média da janela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Sentimento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Campo de sentimento que o agente já gera, agregado por hora/dia.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Queda ≥ 20% no positivo em 1h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Autoridade da fonte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 que origina é Imprensa ou Oposição de alto alcance? Conta verificada? (você já categoriza Governo/Oposição/Imprensa).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Fonte de alta autoridade entra na conversa</w:t>
            </w:r>
          </w:p>
        </w:tc>
      </w:tr>
    </w:tbl>
    <w:p>
      <w:pPr>
        <w:spacing w:after="160" w:before="160"/>
      </w:pPr>
      <w:r>
        <w:rPr>
          <w:b/>
          <w:bCs/>
        </w:rPr>
        <w:t xml:space="preserve">Regra de ouro: </w:t>
      </w:r>
      <w:r>
        <w:t xml:space="preserve">alerta vermelho só quando 2 dos 3 sinais convergem. Isso reduz a fadiga de alarme — problema citado por todos os guias — e faz o gestor confiar no Radar.</w:t>
      </w:r>
    </w:p>
    <w:p>
      <w:pPr>
        <w:pStyle w:val="Heading2"/>
      </w:pPr>
      <w:r>
        <w:t xml:space="preserve">4.3 Níveis de escalonamento (tiers)</w:t>
      </w:r>
    </w:p>
    <w:p>
      <w:pPr>
        <w:spacing w:after="160" w:line="276"/>
      </w:pPr>
      <w:r>
        <w:t xml:space="preserve">Defina três níveis no dashboard, com cores e ações distintas: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Nível 1 — Monitorar (verde): </w:t>
      </w:r>
      <w:r>
        <w:t xml:space="preserve">ruído normal, feedback negativo isolado. Não é crise. Registra, não alerta.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Nível 2 — Atenção (amarelo): </w:t>
      </w:r>
      <w:r>
        <w:t xml:space="preserve">1 sinal disparado ou cluster acidental. Alerta no dashboard, sem WhatsApp urgente.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Nível 3 — Crise (vermelho): </w:t>
      </w:r>
      <w:r>
        <w:t xml:space="preserve">2+ sinais convergindo ou cluster intencional com alta responsabilidade. Dispara WhatsApp imediato + sugestão de resposta.</w:t>
      </w:r>
    </w:p>
    <w:p>
      <w:pPr>
        <w:pStyle w:val="Heading2"/>
      </w:pPr>
      <w:r>
        <w:t xml:space="preserve">4.4 Módulo de recomendação de resposta (IRT)</w:t>
      </w:r>
    </w:p>
    <w:p>
      <w:pPr>
        <w:spacing w:after="160" w:line="276"/>
      </w:pPr>
      <w:r>
        <w:t xml:space="preserve">Para cada alerta de Nível 3, o agente sugere a estratégia de Benoit adequada ao cluster SCCT detectado. A regra de casamento: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 detectado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Estratégia IRT recomendada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 se errar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Vítima</w:t>
            </w:r>
            <w:r>
              <w:t xml:space="preserve"> (boato/ataque)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Negação factual + ação corretiva (esclarecer, mostrar evidência).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Silêncio deixa o boato virar verdade.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Acidental</w:t>
            </w:r>
            <w:r>
              <w:t xml:space="preserve"> (erro não-intencional)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Ação corretiva + redução da ofensa (explicar contexto, corrigir rápido).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Negar parece arrogância.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Intencional</w:t>
            </w:r>
            <w:r>
              <w:t xml:space="preserve"> (alta culpa)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Mortificação + ação corretiva (assumir, pedir desculpa, mostrar plano).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Negar ou minimizar amplia a crise — efeito “bumerangue”.</w:t>
            </w:r>
          </w:p>
        </w:tc>
      </w:tr>
    </w:tbl>
    <w:p>
      <w:pPr>
        <w:spacing w:before="160"/>
      </w:pPr>
      <w:r>
        <w:rPr>
          <w:b/>
          <w:bCs/>
        </w:rPr>
        <w:t xml:space="preserve">A regra que Coombs reforça: </w:t>
      </w:r>
      <w:r>
        <w:t xml:space="preserve">a “resposta-base ética” — informação instrutiva e de ajuste (o que aconteceu e o que está sendo feito) — deve sempre vir primeiro, em qualquer crise, antes de qualquer estratégia defensiva.</w:t>
      </w:r>
    </w:p>
    <w:p>
      <w:pPr>
        <w:pStyle w:val="Heading2"/>
      </w:pPr>
      <w:r>
        <w:t xml:space="preserve">4.5 Relatório semanal: da detecção à inteligência</w:t>
      </w:r>
    </w:p>
    <w:p>
      <w:pPr>
        <w:spacing w:after="160" w:line="276"/>
      </w:pPr>
      <w:r>
        <w:t xml:space="preserve">Evolua o PDF semanal via WhatsApp de “lista de posts” para “briefing de inteligência”, incorporando: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Mapa de calor de risco por categoria (Governo / Oposição / Imprensa).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Crises classificadas por cluster SCCT na semana, com evolução do score.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Detecção de padrões coordenados (você já faz) enquadrada como “ataque intencional” quando aplicável.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Para cada crise relevante, a resposta IRT recomendada e se foi adotada (loop de feedback).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Os 5 Ws de cada evento crítico — formato de leitura rápida para o gestor.</w:t>
      </w:r>
    </w:p>
    <w:p>
      <w:pPr>
        <w:pStyle w:val="Heading2"/>
      </w:pPr>
      <w:r>
        <w:t xml:space="preserve">4.6 Roadmap de implementação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80"/>
        <w:gridCol w:w="3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Adicionar campos cluster_crise e responsabilidade_atribuida ao prompt do radar_agente.py.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Baixo — só ajuste de prompt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Implementar o motor de três sinais e a lógica de tiers (verde/amarelo/vermelho).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 — lógica em Python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de recomendação de resposta IRT no alerta de Nível 3.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 — prompt + template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Reformatar o PDF semanal como briefing de inteligência com loop de feedback.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 — template do relatório</w:t>
            </w:r>
          </w:p>
        </w:tc>
      </w:tr>
    </w:tbl>
    <w:p>
      <w:pPr>
        <w:pStyle w:val="Heading2"/>
      </w:pPr>
      <w:r>
        <w:t xml:space="preserve">4.7 Diferencial competitivo do produto</w:t>
      </w:r>
    </w:p>
    <w:p>
      <w:pPr>
        <w:spacing w:after="160" w:line="276"/>
      </w:pPr>
      <w:r>
        <w:t xml:space="preserve">Ao incorporar SCCT + IRT, o Radar deixa de ser “mais um monitor de redes” e passa a entregar o que nenhum concorrente municipal entrega: classificação teórica da crise + recomendação acionável de resposta. Esse é o argumento de venda para sustentar a meta de R$2.500/mês — você não vende dados, vende decisão.</w:t>
      </w:r>
    </w:p>
    <w:p>
      <w:r>
        <w:br w:type="page"/>
      </w:r>
    </w:p>
    <w:p>
      <w:pPr>
        <w:pStyle w:val="Heading1"/>
      </w:pPr>
      <w:r>
        <w:t xml:space="preserve">5. Referências bibliográficas</w:t>
      </w:r>
    </w:p>
    <w:p>
      <w:pPr>
        <w:spacing w:after="160" w:line="276"/>
      </w:pPr>
      <w:r>
        <w:rPr>
          <w:b/>
          <w:bCs/>
        </w:rPr>
        <w:t xml:space="preserve">Coombs, W. T. </w:t>
      </w:r>
      <w:r>
        <w:t xml:space="preserve">(2007). Protecting Organization Reputations During a Crisis: The Development and Application of Situational Crisis Communication Theory. </w:t>
      </w:r>
      <w:r>
        <w:rPr>
          <w:i/>
          <w:iCs/>
        </w:rPr>
        <w:t xml:space="preserve">Corporate Reputation Review</w:t>
      </w:r>
      <w:r>
        <w:t xml:space="preserve">, 10(3), 163–177.</w:t>
      </w:r>
    </w:p>
    <w:p>
      <w:pPr>
        <w:spacing w:after="160" w:line="276"/>
      </w:pPr>
      <w:r>
        <w:rPr>
          <w:b/>
          <w:bCs/>
        </w:rPr>
        <w:t xml:space="preserve">Coombs, W. T. &amp; Holladay, S. J. </w:t>
      </w:r>
      <w:r>
        <w:t xml:space="preserve">(2022). Situational Crisis Communication Theory (SCCT). In </w:t>
      </w:r>
      <w:r>
        <w:rPr>
          <w:i/>
          <w:iCs/>
        </w:rPr>
        <w:t xml:space="preserve">The Handbook of Crisis Communication</w:t>
      </w:r>
      <w:r>
        <w:t xml:space="preserve">. Wiley.</w:t>
      </w:r>
    </w:p>
    <w:p>
      <w:pPr>
        <w:spacing w:after="160" w:line="276"/>
      </w:pPr>
      <w:r>
        <w:rPr>
          <w:b/>
          <w:bCs/>
        </w:rPr>
        <w:t xml:space="preserve">Coombs, W. T. </w:t>
      </w:r>
      <w:r>
        <w:t xml:space="preserve">(2017). Revising Situational Crisis Communication Theory: The Influences of Social Media on Crisis Communication Theory and Practice.</w:t>
      </w:r>
    </w:p>
    <w:p>
      <w:pPr>
        <w:spacing w:after="160" w:line="276"/>
      </w:pPr>
      <w:r>
        <w:rPr>
          <w:b/>
          <w:bCs/>
        </w:rPr>
        <w:t xml:space="preserve">Benoit, W. L. </w:t>
      </w:r>
      <w:r>
        <w:t xml:space="preserve">(1995). </w:t>
      </w:r>
      <w:r>
        <w:rPr>
          <w:i/>
          <w:iCs/>
        </w:rPr>
        <w:t xml:space="preserve">Accounts, Excuses, and Apologies: A Theory of Image Restoration Strategies</w:t>
      </w:r>
      <w:r>
        <w:t xml:space="preserve">. State University of New York Press.</w:t>
      </w:r>
    </w:p>
    <w:p>
      <w:pPr>
        <w:spacing w:after="160" w:line="276"/>
      </w:pPr>
      <w:r>
        <w:rPr>
          <w:b/>
          <w:bCs/>
        </w:rPr>
        <w:t xml:space="preserve">Benoit, W. L. </w:t>
      </w:r>
      <w:r>
        <w:t xml:space="preserve">(1997). Image Repair Discourse and Crisis Communication. </w:t>
      </w:r>
      <w:r>
        <w:rPr>
          <w:i/>
          <w:iCs/>
        </w:rPr>
        <w:t xml:space="preserve">Public Relations Review</w:t>
      </w:r>
      <w:r>
        <w:t xml:space="preserve">, 23(2), 177–186.</w:t>
      </w:r>
    </w:p>
    <w:p>
      <w:pPr>
        <w:spacing w:after="160" w:line="276"/>
      </w:pPr>
      <w:r>
        <w:rPr>
          <w:b/>
          <w:bCs/>
        </w:rPr>
        <w:t xml:space="preserve">Sprinklr / Hootsuite / PRSA </w:t>
      </w:r>
      <w:r>
        <w:t xml:space="preserve">(2024–2026). Guias profissionais de social media crisis management (frameworks de três sinais, 5 Ws e tiers de escalonamento).</w:t>
      </w:r>
    </w:p>
    <w:p>
      <w:pPr>
        <w:spacing w:after="160" w:line="276"/>
      </w:pPr>
      <w:r>
        <w:rPr>
          <w:b/>
          <w:bCs/>
        </w:rPr>
        <w:t xml:space="preserve">Gomes, W. </w:t>
      </w:r>
      <w:r>
        <w:t xml:space="preserve">Obras sobre comunicação política e democracia digital (UFBA).</w:t>
      </w:r>
    </w:p>
    <w:p>
      <w:pPr>
        <w:spacing w:after="160" w:line="276"/>
      </w:pPr>
      <w:r>
        <w:rPr>
          <w:b/>
          <w:bCs/>
        </w:rPr>
        <w:t xml:space="preserve">FGV/DAPP e NetLab/UFRJ. </w:t>
      </w:r>
      <w:r>
        <w:t xml:space="preserve">Estudos de monitoramento de redes e desinformação política no Brasil.</w:t>
      </w:r>
    </w:p>
    <w:p>
      <w:pPr>
        <w:pBdr>
          <w:top w:val="single" w:color="8B1A1A" w:sz="6" w:space="6"/>
        </w:pBdr>
        <w:spacing w:before="400"/>
      </w:pPr>
      <w:r>
        <w:rPr>
          <w:i/>
          <w:iCs/>
          <w:color w:val="555555"/>
          <w:sz w:val="18"/>
          <w:szCs w:val="18"/>
        </w:rPr>
        <w:t xml:space="preserve">Documento preparado como base de conhecimento do projeto Radar Político.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1A1A" w:sz="8" w:space="4"/>
      </w:pBdr>
      <w:spacing w:after="160" w:before="320"/>
      <w:outlineLvl w:val="0"/>
    </w:pPr>
    <w:rPr>
      <w:rFonts w:ascii="Calibri" w:cs="Calibri" w:eastAsia="Calibri" w:hAnsi="Calibri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8B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A2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2026-06-07T01:03:38.019Z</dcterms:created>
  <dcterms:modified xsi:type="dcterms:W3CDTF">2026-06-07T01:03:38.020Z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