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Arial" w:cs="Arial" w:eastAsia="Arial" w:hAnsi="Arial"/>
          <w:color w:val="6B6B8A"/>
          <w:spacing w:val="60"/>
          <w:sz w:val="20"/>
          <w:szCs w:val="20"/>
        </w:rPr>
        <w:t xml:space="preserve">ESENCA MKT E COMUNICAÇÃO</w:t>
      </w:r>
    </w:p>
    <w:p>
      <w:pPr>
        <w:spacing w:after="0"/>
      </w:pPr>
      <w:r>
        <w:rPr>
          <w:rFonts w:ascii="Arial" w:cs="Arial" w:eastAsia="Arial" w:hAnsi="Arial"/>
          <w:b/>
          <w:bCs/>
          <w:color w:val="B5E040"/>
          <w:sz w:val="72"/>
          <w:szCs w:val="72"/>
        </w:rPr>
        <w:t xml:space="preserve">Pautas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642B83"/>
          <w:sz w:val="72"/>
          <w:szCs w:val="72"/>
        </w:rPr>
        <w:t xml:space="preserve">Editoriais</w:t>
      </w:r>
    </w:p>
    <w:p>
      <w:pPr>
        <w:spacing w:after="600"/>
      </w:pPr>
      <w:r>
        <w:rPr>
          <w:rFonts w:ascii="Arial" w:cs="Arial" w:eastAsia="Arial" w:hAnsi="Arial"/>
          <w:color w:val="3A3A5A"/>
          <w:sz w:val="20"/>
          <w:szCs w:val="20"/>
        </w:rPr>
        <w:t xml:space="preserve">Banco de pautas avaliadas e aprovadas para as linhas editoriais do Instagram e LinkedIn da Esenca. Cada pauta inclui contexto de mercado, ângulo editorial e canal recomendado.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5E040"/>
                <w:sz w:val="36"/>
                <w:szCs w:val="36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78A0"/>
                <w:sz w:val="16"/>
                <w:szCs w:val="16"/>
              </w:rPr>
              <w:t xml:space="preserve">pautas aprovadas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5E040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78A0"/>
                <w:sz w:val="16"/>
                <w:szCs w:val="16"/>
              </w:rPr>
              <w:t xml:space="preserve">categorias editoriais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5E040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78A0"/>
                <w:sz w:val="16"/>
                <w:szCs w:val="16"/>
              </w:rPr>
              <w:t xml:space="preserve">canais cobertos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5E040"/>
                <w:sz w:val="36"/>
                <w:szCs w:val="36"/>
              </w:rPr>
              <w:t xml:space="preserve">Jul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78A0"/>
                <w:sz w:val="16"/>
                <w:szCs w:val="16"/>
              </w:rPr>
              <w:t xml:space="preserve">referência</w:t>
            </w:r>
          </w:p>
        </w:tc>
      </w:tr>
    </w:tbl>
    <w:p>
      <w:pPr>
        <w:spacing w:after="800" w:before="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color w:val="6B6B8A"/>
          <w:spacing w:val="60"/>
          <w:sz w:val="18"/>
          <w:szCs w:val="18"/>
        </w:rPr>
        <w:t xml:space="preserve">COMO LER ESTE DOCUMENTO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0A14"/>
          <w:sz w:val="40"/>
          <w:szCs w:val="40"/>
        </w:rPr>
        <w:t xml:space="preserve">Guia de leitura</w:t>
      </w:r>
    </w:p>
    <w:p>
      <w:pPr>
        <w:spacing w:after="400"/>
      </w:pPr>
      <w:r>
        <w:rPr>
          <w:rFonts w:ascii="Arial" w:cs="Arial" w:eastAsia="Arial" w:hAnsi="Arial"/>
          <w:color w:val="3A3A5A"/>
          <w:sz w:val="20"/>
          <w:szCs w:val="20"/>
        </w:rPr>
        <w:t xml:space="preserve">Cada pauta tem três elementos visuais que indicam canal, perfil de publicação e formato sugerido. Abaixo, o que cada um significa.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6B8A"/>
          <w:spacing w:val="40"/>
          <w:sz w:val="16"/>
          <w:szCs w:val="16"/>
        </w:rPr>
        <w:t xml:space="preserve">CANAL DE PUBLICAÇÃO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14"/>
          <w:sz w:val="18"/>
          <w:szCs w:val="18"/>
        </w:rPr>
        <w:t xml:space="preserve">[LI + IG]  </w:t>
      </w:r>
      <w:r>
        <w:rPr>
          <w:rFonts w:ascii="Arial" w:cs="Arial" w:eastAsia="Arial" w:hAnsi="Arial"/>
          <w:b/>
          <w:bCs/>
          <w:color w:val="0A0A14"/>
          <w:sz w:val="18"/>
          <w:szCs w:val="18"/>
        </w:rPr>
        <w:t xml:space="preserve">LinkedIn + Instagram: </w:t>
      </w:r>
      <w:r>
        <w:rPr>
          <w:rFonts w:ascii="Arial" w:cs="Arial" w:eastAsia="Arial" w:hAnsi="Arial"/>
          <w:color w:val="3A3A5A"/>
          <w:sz w:val="18"/>
          <w:szCs w:val="18"/>
        </w:rPr>
        <w:t xml:space="preserve">Pauta com versões para os dois canais. Copy e formato adaptados para cada plataforma.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14"/>
          <w:sz w:val="18"/>
          <w:szCs w:val="18"/>
        </w:rPr>
        <w:t xml:space="preserve">[LinkedIn]  </w:t>
      </w:r>
      <w:r>
        <w:rPr>
          <w:rFonts w:ascii="Arial" w:cs="Arial" w:eastAsia="Arial" w:hAnsi="Arial"/>
          <w:b/>
          <w:bCs/>
          <w:color w:val="0A0A14"/>
          <w:sz w:val="18"/>
          <w:szCs w:val="18"/>
        </w:rPr>
        <w:t xml:space="preserve">LinkedIn empresa: </w:t>
      </w:r>
      <w:r>
        <w:rPr>
          <w:rFonts w:ascii="Arial" w:cs="Arial" w:eastAsia="Arial" w:hAnsi="Arial"/>
          <w:color w:val="3A3A5A"/>
          <w:sz w:val="18"/>
          <w:szCs w:val="18"/>
        </w:rPr>
        <w:t xml:space="preserve">Publicação no perfil corporativo da Esenca. Tom institucional, público C-level.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14"/>
          <w:sz w:val="18"/>
          <w:szCs w:val="18"/>
        </w:rPr>
        <w:t xml:space="preserve">[Instagram]  </w:t>
      </w:r>
      <w:r>
        <w:rPr>
          <w:rFonts w:ascii="Arial" w:cs="Arial" w:eastAsia="Arial" w:hAnsi="Arial"/>
          <w:b/>
          <w:bCs/>
          <w:color w:val="0A0A14"/>
          <w:sz w:val="18"/>
          <w:szCs w:val="18"/>
        </w:rPr>
        <w:t xml:space="preserve">Instagram: </w:t>
      </w:r>
      <w:r>
        <w:rPr>
          <w:rFonts w:ascii="Arial" w:cs="Arial" w:eastAsia="Arial" w:hAnsi="Arial"/>
          <w:color w:val="3A3A5A"/>
          <w:sz w:val="18"/>
          <w:szCs w:val="18"/>
        </w:rPr>
        <w:t xml:space="preserve">Publicação no feed. Formato visual de impacto, público profissional de comunicação e marketing.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14"/>
          <w:sz w:val="18"/>
          <w:szCs w:val="18"/>
        </w:rPr>
        <w:t xml:space="preserve">[Visão Founder]  </w:t>
      </w:r>
      <w:r>
        <w:rPr>
          <w:rFonts w:ascii="Arial" w:cs="Arial" w:eastAsia="Arial" w:hAnsi="Arial"/>
          <w:b/>
          <w:bCs/>
          <w:color w:val="0A0A14"/>
          <w:sz w:val="18"/>
          <w:szCs w:val="18"/>
        </w:rPr>
        <w:t xml:space="preserve">LinkedIn Esenca: voz da founder: </w:t>
      </w:r>
      <w:r>
        <w:rPr>
          <w:rFonts w:ascii="Arial" w:cs="Arial" w:eastAsia="Arial" w:hAnsi="Arial"/>
          <w:color w:val="3A3A5A"/>
          <w:sz w:val="18"/>
          <w:szCs w:val="18"/>
        </w:rPr>
        <w:t xml:space="preserve">Post no perfil da Esenca escrito na perspectiva da CEO. Análise de mercado em primeira pessoa, dado de campo, CTA de captura.</w:t>
      </w:r>
    </w:p>
    <w:p>
      <w:pPr>
        <w:spacing w:after="32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6B6B8A"/>
          <w:spacing w:val="40"/>
          <w:sz w:val="16"/>
          <w:szCs w:val="16"/>
        </w:rPr>
        <w:t xml:space="preserve">ÂNGULO ESENCA</w:t>
      </w:r>
    </w:p>
    <w:p>
      <w:pPr>
        <w:spacing w:after="400"/>
      </w:pPr>
      <w:r>
        <w:rPr>
          <w:rFonts w:ascii="Arial" w:cs="Arial" w:eastAsia="Arial" w:hAnsi="Arial"/>
          <w:color w:val="3A3A5A"/>
          <w:sz w:val="18"/>
          <w:szCs w:val="18"/>
        </w:rPr>
        <w:t xml:space="preserve">A linha em destaque em cada pauta é o ponto de vista que a Esenca deve tomar. É onde a comunicação estratégica diferencia a análise de uma notícia comum.</w:t>
      </w:r>
    </w:p>
    <w:p>
      <w:pPr>
        <w:pBdr>
          <w:bottom w:val="single" w:color="D0D0E0" w:sz="4" w:space="1"/>
        </w:pBdr>
        <w:spacing w:after="16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B6B8A"/>
          <w:spacing w:val="40"/>
          <w:sz w:val="16"/>
          <w:szCs w:val="16"/>
        </w:rPr>
        <w:t xml:space="preserve">CATEGORIAS EDITORIAIS</w:t>
      </w:r>
    </w:p>
    <w:p>
      <w:pPr>
        <w:spacing w:after="120"/>
      </w:pPr>
      <w:r>
        <w:rPr>
          <w:rFonts w:ascii="Arial" w:cs="Arial" w:eastAsia="Arial" w:hAnsi="Arial"/>
          <w:color w:val="B5E04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0A0A14"/>
          <w:sz w:val="20"/>
          <w:szCs w:val="20"/>
        </w:rPr>
        <w:t xml:space="preserve">01 · Gestão de Crise e Reputação: </w:t>
      </w:r>
      <w:r>
        <w:rPr>
          <w:rFonts w:ascii="Arial" w:cs="Arial" w:eastAsia="Arial" w:hAnsi="Arial"/>
          <w:color w:val="3A3A5A"/>
          <w:sz w:val="20"/>
          <w:szCs w:val="20"/>
        </w:rPr>
        <w:t xml:space="preserve">Cases de como empresas respondem (ou deixam de responder) a crises públicas. Posiciona a Esenca como referência em gestão de reputação de alto risco.</w:t>
      </w:r>
    </w:p>
    <w:p>
      <w:pPr>
        <w:spacing w:after="120"/>
      </w:pPr>
      <w:r>
        <w:rPr>
          <w:rFonts w:ascii="Arial" w:cs="Arial" w:eastAsia="Arial" w:hAnsi="Arial"/>
          <w:color w:val="5B2090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0A0A14"/>
          <w:sz w:val="20"/>
          <w:szCs w:val="20"/>
        </w:rPr>
        <w:t xml:space="preserve">02 · Executive Positioning: </w:t>
      </w:r>
      <w:r>
        <w:rPr>
          <w:rFonts w:ascii="Arial" w:cs="Arial" w:eastAsia="Arial" w:hAnsi="Arial"/>
          <w:color w:val="3A3A5A"/>
          <w:sz w:val="20"/>
          <w:szCs w:val="20"/>
        </w:rPr>
        <w:t xml:space="preserve">Posts no LinkedIn da Esenca com a voz da CEO. Thought leadership com dado de mercado, observação de campo e CTA de captura.</w:t>
      </w:r>
    </w:p>
    <w:p>
      <w:pPr>
        <w:spacing w:after="120"/>
      </w:pPr>
      <w:r>
        <w:rPr>
          <w:rFonts w:ascii="Arial" w:cs="Arial" w:eastAsia="Arial" w:hAnsi="Arial"/>
          <w:color w:val="B1852A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0A0A14"/>
          <w:sz w:val="20"/>
          <w:szCs w:val="20"/>
        </w:rPr>
        <w:t xml:space="preserve">03 · Regulação com Impacto em Comunicação: </w:t>
      </w:r>
      <w:r>
        <w:rPr>
          <w:rFonts w:ascii="Arial" w:cs="Arial" w:eastAsia="Arial" w:hAnsi="Arial"/>
          <w:color w:val="3A3A5A"/>
          <w:sz w:val="20"/>
          <w:szCs w:val="20"/>
        </w:rPr>
        <w:t xml:space="preserve">Mudanças regulatórias que criam obrigações de comunicação ou risco reputacional. Território onde a Esenca entrega visão que advogados e consultorias de compliance não entregam.</w:t>
      </w:r>
    </w:p>
    <w:p>
      <w:pPr>
        <w:spacing w:after="120"/>
      </w:pPr>
      <w:r>
        <w:rPr>
          <w:rFonts w:ascii="Arial" w:cs="Arial" w:eastAsia="Arial" w:hAnsi="Arial"/>
          <w:color w:val="E54E3E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0A0A14"/>
          <w:sz w:val="20"/>
          <w:szCs w:val="20"/>
        </w:rPr>
        <w:t xml:space="preserve">04 · LatAm e Mercado Financeiro: </w:t>
      </w:r>
      <w:r>
        <w:rPr>
          <w:rFonts w:ascii="Arial" w:cs="Arial" w:eastAsia="Arial" w:hAnsi="Arial"/>
          <w:color w:val="3A3A5A"/>
          <w:sz w:val="20"/>
          <w:szCs w:val="20"/>
        </w:rPr>
        <w:t xml:space="preserve">Pautas que abrem o novo território da Esenca: comunicação para empresas que escalam na América Latina e para o setor financeiro tradicional.</w:t>
      </w:r>
    </w:p>
    <w:p>
      <w:pPr>
        <w:spacing w:after="120"/>
      </w:pPr>
      <w:r>
        <w:rPr>
          <w:rFonts w:ascii="Arial" w:cs="Arial" w:eastAsia="Arial" w:hAnsi="Arial"/>
          <w:color w:val="91307E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olor w:val="0A0A14"/>
          <w:sz w:val="20"/>
          <w:szCs w:val="20"/>
        </w:rPr>
        <w:t xml:space="preserve">05 · Produto e Serviço: </w:t>
      </w:r>
      <w:r>
        <w:rPr>
          <w:rFonts w:ascii="Arial" w:cs="Arial" w:eastAsia="Arial" w:hAnsi="Arial"/>
          <w:color w:val="3A3A5A"/>
          <w:sz w:val="20"/>
          <w:szCs w:val="20"/>
        </w:rPr>
        <w:t xml:space="preserve">Explica o que a Esenca é, como trabalha e por que o modelo integrado (estratégia + execução no mesmo time) é o diferencial central do novo posicionamento.</w:t>
      </w:r>
    </w:p>
    <w:p>
      <w:pPr>
        <w:spacing w:after="400" w:before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6766"/>
        <w:gridCol w:w="21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E040" w:val="clear"/>
          </w:tcPr>
          <w:p>
            <w:r>
              <w:t xml:space="preserve"/>
            </w:r>
          </w:p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B6B8A"/>
                <w:sz w:val="18"/>
                <w:szCs w:val="18"/>
              </w:rPr>
              <w:t xml:space="preserve">Categoria 01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14"/>
                <w:sz w:val="28"/>
                <w:szCs w:val="28"/>
              </w:rPr>
              <w:t xml:space="preserve">Gestão de Crise e Reputação Corporativa</w:t>
            </w:r>
          </w:p>
          <w:p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Cases e análises de como empresas respondem (ou deixam de responder) a crises públicas. Posiciona a Esenca como referência em gestão de reputação de alto risco.</w:t>
            </w:r>
          </w:p>
        </w:tc>
        <w:tc>
          <w:tcPr>
            <w:tcW w:type="dxa" w:w="2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E040"/>
                <w:sz w:val="20"/>
                <w:szCs w:val="20"/>
              </w:rPr>
              <w:t xml:space="preserve">5 pautas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010"/>
                <w:sz w:val="17"/>
                <w:szCs w:val="17"/>
              </w:rPr>
              <w:t xml:space="preserve">[LI + IG]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texto + infográfico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Astronomer: 48 horas que viraram manual de crise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CEO Andy Byron flagrado abraçando a diretora de RH num telão do Coldplay em 15 de julho de 2025. Em 4 dias: nota pública, investigação, renúncia do CEO, CEO interino anunciado. 10 dias depois, Gwyneth Paltrow contratada como porta-voz temporária. Tráfego no site subiu 15.000%.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5E04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5E04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O que separa quem sobrevive de quem afunda é velocidade e accountability. Toda empresa vai enfrentar um momento assim em algum momento. A pergunta que resta é: existe protocolo pronto?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1248"/>
                <w:sz w:val="17"/>
                <w:szCs w:val="17"/>
              </w:rPr>
              <w:t xml:space="preserve">[LinkedIn]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análise de mercado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Montadora americana: quando o fundador é a crise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Brand value caiu 36% em 2025, terceiro ano consecutivo de queda. Lealdade de compra recuou de 73% para 50%. Entregas caíram 13% no Q2 de 2025. Protestos em concessionárias nos EUA e Europa, ligados à exposição pública do fundador em pautas políticas.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5E04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5E04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Quando o fundador é a narrativa central da marca, o risco reputacional fica sem firewall. Protocolo de comunicação precisa existir com antecedência, montado antes de qualquer exposição pública do fundador.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010"/>
                <w:sz w:val="17"/>
                <w:szCs w:val="17"/>
              </w:rPr>
              <w:t xml:space="preserve">[LI + IG]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análise de mercado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Havaianas: silêncio estratégico que transformou boicote em venda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Comercial lido como provocação política gerou tentativa de boicote. Movimento de apoio superou o boicote. Lojas registraram movimento acima do normal.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5E04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5E04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Silêncio estratégico também é posicionamento, e às vezes é o mais sofisticado. Mas exige leitura de cenário que a maioria das empresas não consegue fazer sozinha.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1248"/>
                <w:sz w:val="17"/>
                <w:szCs w:val="17"/>
              </w:rPr>
              <w:t xml:space="preserve">[LinkedIn]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análise de mercado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Duas redes globais de alimentação: crise sem posicionamento intencional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Nenhuma declaração política foi feita pelas marcas. Uma franquia local alimentou soldados por conta própria. Uma das redes entregou +0,7% de resultado contra expectativa de +5,5%, atingida por um boicote motivado por decisão que a sede nunca tomou.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5E04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5E04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Em 2026, crise de reputação pode nascer sem nenhum erro direto da empresa. Basta um franqueado, um fornecedor, um post de funcionário. Monitoramento e protocolo seguem sendo o antídoto mais confiável.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010"/>
                <w:sz w:val="17"/>
                <w:szCs w:val="17"/>
              </w:rPr>
              <w:t xml:space="preserve">[LI + IG]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conceito aplicado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O paradoxo da neutralidade: 57% querem marcas neutras, 52% boicotam a posição oposta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Dado Ipsos 2025. Matematicamente, não existe posição segura. Quem decide qual grupo reage primeiro é quem tem o megafone naquele momento.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5E04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5E04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Ter protocolo pronto para qualquer lado que a polarização decidir atacar importa mais do que escolher o lado certo. Framework mais velocidade de resposta.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0E0" w:sz="4" w:space="1"/>
        </w:pBdr>
        <w:spacing w:after="160" w:before="160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6766"/>
        <w:gridCol w:w="21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090" w:val="clear"/>
          </w:tcPr>
          <w:p>
            <w:r>
              <w:t xml:space="preserve"/>
            </w:r>
          </w:p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B6B8A"/>
                <w:sz w:val="18"/>
                <w:szCs w:val="18"/>
              </w:rPr>
              <w:t xml:space="preserve">Categoria 02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14"/>
                <w:sz w:val="28"/>
                <w:szCs w:val="28"/>
              </w:rPr>
              <w:t xml:space="preserve">Executive Positioning e Thought Leadership</w:t>
            </w:r>
          </w:p>
          <w:p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Posts no LinkedIn da Esenca com a voz da CEO. Dado de mercado, observação de campo e CTA de captura. Formato: texto em primeira pessoa, infográfico "Salve o conteúdo".</w:t>
            </w:r>
          </w:p>
        </w:tc>
        <w:tc>
          <w:tcPr>
            <w:tcW w:type="dxa" w:w="2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090"/>
                <w:sz w:val="20"/>
                <w:szCs w:val="20"/>
              </w:rPr>
              <w:t xml:space="preserve">5 pautas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A1A00"/>
                <w:sz w:val="17"/>
                <w:szCs w:val="17"/>
              </w:rPr>
              <w:t xml:space="preserve">[Visão Founder]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dado + framework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49% da reputação da empresa está na reputação do CEO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44% do valor de mercado segue a mesma lógica. 85% dos CEOs da ASX200 são invisíveis no LinkedIn, por inércia, não por estratégia.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86FD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86FD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O ativo reputacional mais subutilizado de qualquer empresa é a liderança que não se posiciona. Executive positioning é, na prática, gestão de risco.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A1A00"/>
                <w:sz w:val="17"/>
                <w:szCs w:val="17"/>
              </w:rPr>
              <w:t xml:space="preserve">[Visão Founder]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comparativo + infográfico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Nadella vs Jensen Huang: dois arquétipos de thought leadership que funcionam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Nadella aposta em coerência de narrativa e humildade intelectual: +26% de brand value ao ano ao longo da gestão, segundo Brand Finance 2025. Huang aposta em presença física e rituais ao vivo: NVIDIA cresceu 178% em brand value em um único ano, segundo Kantar BrandZ 2024.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86FD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86FD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O posicionamento de executivo funciona por arquétipo, não por fórmula universal. O trabalho estratégico começa na definição de qual arquétipo cabe a cada liderança.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A1A00"/>
                <w:sz w:val="17"/>
                <w:szCs w:val="17"/>
              </w:rPr>
              <w:t xml:space="preserve">[Visão Founder]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dado + posição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LinkedIn com retorno decrescente: mediana de 0,19% de engajamento de C-suite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1,1 bilhão de usuários na plataforma. 80% dos leads B2B passam por ela. Mesmo assim, 19 likes por 10 mil seguidores é o padrão atual de C-suite. O modelo de postar insight polido repetidas vezes está saturado.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86FD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86FD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Em 2026, engajamento estratégico em conversas relevantes diferencia mais do que frequência de postagem. Volume sem posicionamento claro vira ruído.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A1A00"/>
                <w:sz w:val="17"/>
                <w:szCs w:val="17"/>
              </w:rPr>
              <w:t xml:space="preserve">[Visão Founder]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análise + dado âncora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Confiança na marca caiu de 20% para 39% com o uso pesado de IA em conteúdo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Segundo levantamento da Fractl com Search Engine Land, em 2025 apenas 20% dos consumidores diziam que uso pesado de IA reduzia a confiança numa marca. Em 2026, esse número saltou para 39% em doze meses. Conteúdo B2B cresceu 56,7% depois do ChatGPT, e a maioria dos decision-makers hoje desconfia de material assinado por lideranças que não escrevem o próprio conteúdo.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86FD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86FD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A IA democratizou a produção e destruiu a diferenciação de quem dependia de volume. O que sobra é o que a IA não replica: experiência real, posição genuína, cicatriz de mercado.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A1A00"/>
                <w:sz w:val="17"/>
                <w:szCs w:val="17"/>
              </w:rPr>
              <w:t xml:space="preserve">[Visão Founder]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case comparativo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Astronomer vs rede de varejo americana: resposta em 48h vs silêncio, e o que cada um custou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No primeiro case, accountability em 48 horas virou case de sucesso. No segundo, silêncio após um episódio de nepotismo ampliou o dano sem controle.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86FD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86FD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O vácuo destrói mais do que o escândalo em si. O tempo entre o evento e a primeira resposta é o período mais crítico da gestão de reputação de qualquer executivo.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0E0" w:sz="4" w:space="1"/>
        </w:pBdr>
        <w:spacing w:after="160" w:before="160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6766"/>
        <w:gridCol w:w="21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1852A" w:val="clear"/>
          </w:tcPr>
          <w:p>
            <w:r>
              <w:t xml:space="preserve"/>
            </w:r>
          </w:p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B6B8A"/>
                <w:sz w:val="18"/>
                <w:szCs w:val="18"/>
              </w:rPr>
              <w:t xml:space="preserve">Categoria 03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14"/>
                <w:sz w:val="28"/>
                <w:szCs w:val="28"/>
              </w:rPr>
              <w:t xml:space="preserve">Regulação com Impacto em Comunicação</w:t>
            </w:r>
          </w:p>
          <w:p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Mudanças regulatórias que criam obrigações de comunicação ou risco reputacional para empresas. Território em que a Esenca entrega visão que advogados e consultorias de compliance não entregam.</w:t>
            </w:r>
          </w:p>
        </w:tc>
        <w:tc>
          <w:tcPr>
            <w:tcW w:type="dxa" w:w="2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1852A"/>
                <w:sz w:val="20"/>
                <w:szCs w:val="20"/>
              </w:rPr>
              <w:t xml:space="preserve">3 pautas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1248"/>
                <w:sz w:val="17"/>
                <w:szCs w:val="17"/>
              </w:rPr>
              <w:t xml:space="preserve">[LinkedIn]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análise regulatória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Greenwashing virou risco legal: ECGT entra em vigor em setembro de 2026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Duas marcas globais de moda, uma de fast fashion e outra de luxo, já foram multadas em milhões de euros por uso indevido de termos como "eco-friendly" e "sustainable" sem prova. Carbon neutral via offset passa a ser ilegal. Multa prevista de até 4% do faturamento na União Europeia.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A04A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04A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Comunicação de ESG deixou de ser vantagem competitiva e virou campo minado jurídico. Quem fala mais do que entrega vai pagar, literalmente.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1248"/>
                <w:sz w:val="17"/>
                <w:szCs w:val="17"/>
              </w:rPr>
              <w:t xml:space="preserve">[LinkedIn]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análise de mercado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CVM "comply or explain": quem não publica ESG precisa comunicar por que não publica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Resolução 244/2026. Voluntário não significa silêncio: quem não publica deve explicar publicamente. Ofício Circular 2025 já prevê protocolo específico para comunicação em período eleitoral.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A04A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04A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A regulação criou obrigação de comunicação para quem achava que tinha direito ao silêncio. Empresas abertas sem estratégia de disclosure vão ser pegas de surpresa.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010"/>
                <w:sz w:val="17"/>
                <w:szCs w:val="17"/>
              </w:rPr>
              <w:t xml:space="preserve">[LI + IG]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alerta + framework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Deepfakes eleitorais 2026: marcas atingidas por posições que nunca tomaram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Segundo ABRACOM, maio de 2026, a principal ameaça não é tomar posição errada. É desinformação atribuir posição falsa. Deepfakes de executivos operam em modo pré-eleitoral desde o primeiro semestre.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A04A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04A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Protocolo mínimo obrigatório agora inclui monitoramento contínuo, resposta pré-aprovada para atribuições falsas e linha direta de desmentido. Empresas sem isso ficam expostas.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0E0" w:sz="4" w:space="1"/>
        </w:pBdr>
        <w:spacing w:after="160" w:before="160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6766"/>
        <w:gridCol w:w="21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4E3E" w:val="clear"/>
          </w:tcPr>
          <w:p>
            <w:r>
              <w:t xml:space="preserve"/>
            </w:r>
          </w:p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B6B8A"/>
                <w:sz w:val="18"/>
                <w:szCs w:val="18"/>
              </w:rPr>
              <w:t xml:space="preserve">Categoria 04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14"/>
                <w:sz w:val="28"/>
                <w:szCs w:val="28"/>
              </w:rPr>
              <w:t xml:space="preserve">LatAm e Mercado Financeiro</w:t>
            </w:r>
          </w:p>
          <w:p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Pautas que abrem o novo território de posicionamento da Esenca: comunicação para empresas que escalam na América Latina e para o setor financeiro tradicional.</w:t>
            </w:r>
          </w:p>
        </w:tc>
        <w:tc>
          <w:tcPr>
            <w:tcW w:type="dxa" w:w="2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E3E"/>
                <w:sz w:val="20"/>
                <w:szCs w:val="20"/>
              </w:rPr>
              <w:t xml:space="preserve">4 pautas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010"/>
                <w:sz w:val="17"/>
                <w:szCs w:val="17"/>
              </w:rPr>
              <w:t xml:space="preserve">[LI + IG]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análise de mercado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Walmart, Forever 21 e Fnac: por que marcas globais saem do Brasil sem entender por que falharam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Walmart chegou em 1995 com o modelo americano intacto e saiu em 2018. Forever 21 não entendeu a cultura de promoção pontual versus preço baixo diário. Fnac não criou o espaço de permanência que o consumidor brasileiro exige.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706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706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Leitura de mercado pesou mais do que produto nesses três casos. Quando uma marca chega ao Brasil com a narrativa pronta do país de origem, ela traduz em vez de se comunicar. E tradução não é estratégia.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A1A00"/>
                <w:sz w:val="17"/>
                <w:szCs w:val="17"/>
              </w:rPr>
              <w:t xml:space="preserve">[Visão Founder]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dado + framework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PR no México, Argentina e Colômbia: o que muda na prática (e o que a maioria ignora)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No México e na Colômbia, jornalistas precisam de imagem fornecida pela marca, sem isso não há matéria. Na Argentina, jornalistas acompanham as redes pessoais dos assessores e conversam entre si. Evento fechado para poucos pode virar boicote silencioso. 70% dos executivos globais dizem que comunicação intercultural é essencial, mas menos de 30% treinaram para isso.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706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706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Um press release Brasil não serve como press release LatAm. A mesma campanha que funcionou aqui pode ser invisível no México ou contraproducente na Argentina, porque o fluxo de informação funciona de forma diferente em cada mercado.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1248"/>
                <w:sz w:val="17"/>
                <w:szCs w:val="17"/>
              </w:rPr>
              <w:t xml:space="preserve">[LinkedIn]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dado + posição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Setor financeiro e a reputação que ninguém gerencia antes de precisar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O Banco Central publica ranking trimestral de reclamações. Bancos digitais e tradicionais de grande porte aparecem entre os piores avaliados, mesmo com bases massivas de clientes. A Fitch piorou a perspectiva dos bancos brasileiros em 2026.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706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706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Alto índice de reclamação costuma sinalizar reputação não gerenciada na raiz. O Nubank entendeu isso antes do resto do setor. Boa parte do mercado financeiro ainda trata reputação como consequência, quando poderia tratar como ativo.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010"/>
                <w:sz w:val="17"/>
                <w:szCs w:val="17"/>
              </w:rPr>
              <w:t xml:space="preserve">[LI + IG]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análise de mercado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Brasil, México e Argentina têm mais divergências que convergências. As marcas ignoram isso.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Os únicos três países da LatAm no G20 têm políticas econômicas, cenários eleitorais e dinâmicas de mídia distintos em 2026. Agências de comunicação cresceram 6,69% no Brasil, movimentando R$ 5,72 bilhões.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706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7060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LatAm funciona como um arco de mercados com regras próprias, não como um mercado único. Para crescer de verdade na região é preciso de quem já operou em mais de um país e entende onde a narrativa varia.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0E0" w:sz="4" w:space="1"/>
        </w:pBdr>
        <w:spacing w:after="160" w:before="160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6766"/>
        <w:gridCol w:w="21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1307E" w:val="clear"/>
          </w:tcPr>
          <w:p>
            <w:r>
              <w:t xml:space="preserve"/>
            </w:r>
          </w:p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B6B8A"/>
                <w:sz w:val="18"/>
                <w:szCs w:val="18"/>
              </w:rPr>
              <w:t xml:space="preserve">Categoria 05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14"/>
                <w:sz w:val="28"/>
                <w:szCs w:val="28"/>
              </w:rPr>
              <w:t xml:space="preserve">Produto e Serviço</w:t>
            </w:r>
          </w:p>
          <w:p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Pautas que explicam o que a Esenca é, como trabalha e por que o modelo integrado (estratégia + execução no mesmo time) é o diferencial central do novo posicionamento.</w:t>
            </w:r>
          </w:p>
        </w:tc>
        <w:tc>
          <w:tcPr>
            <w:tcW w:type="dxa" w:w="2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1307E"/>
                <w:sz w:val="20"/>
                <w:szCs w:val="20"/>
              </w:rPr>
              <w:t xml:space="preserve">4 pautas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1248"/>
                <w:sz w:val="17"/>
                <w:szCs w:val="17"/>
              </w:rPr>
              <w:t xml:space="preserve">[LinkedIn]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posição de mercado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Em 2026, comunicação como execução vai perder para comunicação como estratégia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Estudo do setor mostra oportunidades de crescimento concentradas em comunicação integrada (28%), reputação corporativa (22%) e thought leadership (19%). Consultoria em comunicação estratégica lidera a transformação do mercado, com 26%.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5898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5898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O modelo já é a forma como operamos há 10 anos, muito antes de virar tendência de mercado. A diferença entre executar o que o cliente pede e diagnosticar o que o negócio precisa vale a reputação de uma empresa inteira.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1248"/>
                <w:sz w:val="17"/>
                <w:szCs w:val="17"/>
              </w:rPr>
              <w:t xml:space="preserve">[LinkedIn]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diferencial central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O que acontece quando quem pensa e quem executa são times diferentes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No modelo de guarda compartilhada nas redes sociais, marketing, conteúdo, community, SAC e comercial dividem responsabilidade. Em crise, cada área espera a outra se posicionar. 71% dos consumidores abandonam marcas após uma única experiência negativa.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5898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5898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O gap de tradução entre estratégia e execução é onde a reputação escapa. O mesmo time que diagnostica a crise precisa ser o time que responde a ela. Integração funciona na prática como protocolo de trabalho.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1248"/>
                <w:sz w:val="17"/>
                <w:szCs w:val="17"/>
              </w:rPr>
              <w:t xml:space="preserve">[LinkedIn]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educação + serviço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O silêncio corporativo deixou de ser estratégia. A maioria das empresas ainda não sabe.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80% dos consumidores apontam autenticidade como fator decisivo de escolha em 2026. Em crise, silêncio funciona como vácuo. Empresas com comunicação reativa chegam à crise sem reserva de confiança acumulada.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5898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5898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Reputação como ativo se constrói antes de precisar usar. Empresas que chegam até nós em crise sempre dizem a mesma coisa: "não sabíamos que precisávamos disso antes." 30 anos de mercado ensinaram que o trabalho começa na ausência de manchete, bem antes da crise aparecer publicamente.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8F8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010"/>
                <w:sz w:val="17"/>
                <w:szCs w:val="17"/>
              </w:rPr>
              <w:t xml:space="preserve">[LI + IG]</w:t>
            </w:r>
            <w:r>
              <w:rPr>
                <w:rFonts w:ascii="Arial" w:cs="Arial" w:eastAsia="Arial" w:hAnsi="Arial"/>
                <w:color w:val="7878A0"/>
                <w:sz w:val="17"/>
                <w:szCs w:val="17"/>
              </w:rPr>
              <w:t xml:space="preserve">   institucional + prova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0A14"/>
                <w:sz w:val="24"/>
                <w:szCs w:val="24"/>
              </w:rPr>
              <w:t xml:space="preserve">10 anos de Esenca. 30 anos de experiência da founder. O que isso entrega para quem contrata comunicação estratégica.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5A"/>
                <w:sz w:val="20"/>
                <w:szCs w:val="20"/>
              </w:rPr>
              <w:t xml:space="preserve">A Esenca completa 10 anos construída sobre três décadas de experiência da founder em comunicação estratégica para diferentes nichos: finanças, tecnologia, varejo, marcas globais.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"/>
              <w:gridCol w:w="8466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5898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5898"/>
                      <w:sz w:val="16"/>
                      <w:szCs w:val="16"/>
                    </w:rPr>
                    <w:t xml:space="preserve">ÂNGULO ESENCA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3A3A5A"/>
                      <w:sz w:val="19"/>
                      <w:szCs w:val="19"/>
                    </w:rPr>
                    <w:t xml:space="preserve">É estrutura consolidada com repertório real, longe do perfil de empresa jovem ainda aprendendo o mercado. 30 anos de mercado ensinam o que nenhum framework ensina: como cada nicho reage, o que cada crise exige e onde a narrativa precisa ser calibrada antes de chegar ao público.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0E0" w:sz="4" w:space="1"/>
        </w:pBdr>
        <w:spacing w:after="160" w:before="16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6B6B8A"/>
          <w:spacing w:val="40"/>
          <w:sz w:val="18"/>
          <w:szCs w:val="18"/>
        </w:rPr>
        <w:t xml:space="preserve">ESENCA MKT e Comunicação</w:t>
      </w:r>
      <w:r>
        <w:rPr>
          <w:rFonts w:ascii="Arial" w:cs="Arial" w:eastAsia="Arial" w:hAnsi="Arial"/>
          <w:color w:val="6B6B8A"/>
          <w:sz w:val="18"/>
          <w:szCs w:val="18"/>
        </w:rPr>
        <w:t xml:space="preserve">     Banco de Pautas Editoriais · Julho 2026 · Uso interno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E0" w:sz="2" w:space="1"/>
      </w:pBdr>
      <w:jc w:val="right"/>
    </w:pPr>
    <w:r>
      <w:rPr>
        <w:rFonts w:ascii="Arial" w:cs="Arial" w:eastAsia="Arial" w:hAnsi="Arial"/>
        <w:color w:val="6B6B8A"/>
        <w:sz w:val="16"/>
        <w:szCs w:val="16"/>
      </w:rPr>
      <w:t xml:space="preserve">Página </w:t>
    </w:r>
    <w:r>
      <w:rPr>
        <w:rFonts w:ascii="Arial" w:cs="Arial" w:eastAsia="Arial" w:hAnsi="Arial"/>
        <w:color w:val="6B6B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E0" w:sz="2" w:space="1"/>
      </w:pBdr>
    </w:pPr>
    <w:r>
      <w:rPr>
        <w:rFonts w:ascii="Arial" w:cs="Arial" w:eastAsia="Arial" w:hAnsi="Arial"/>
        <w:color w:val="6B6B8A"/>
        <w:spacing w:val="40"/>
        <w:sz w:val="16"/>
        <w:szCs w:val="16"/>
      </w:rPr>
      <w:t xml:space="preserve">ESENCA MKT E COMUNICAÇÃO</w:t>
    </w:r>
    <w:r>
      <w:rPr>
        <w:rFonts w:ascii="Arial" w:cs="Arial" w:eastAsia="Arial" w:hAnsi="Arial"/>
        <w:color w:val="6B6B8A"/>
        <w:sz w:val="16"/>
        <w:szCs w:val="16"/>
      </w:rPr>
      <w:t xml:space="preserve">     Banco de Pautas Editoriais · Julho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2026-07-20T11:30:35.013Z</dcterms:created>
  <dcterms:modified xsi:type="dcterms:W3CDTF">2026-07-20T11:30:35.014Z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