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bookmarkStart w:id="0" w:name="ac65a040-0e33-4943-9cd0-241fea9e00fd"/>
      <w:bookmarkEnd w:id="0"/>
      <w:r>
        <w:rPr/>
        <w:t>Parkenson's Disease</w:t>
      </w:r>
    </w:p>
    <w:p>
      <w:pPr>
        <w:pStyle w:val="BodyText"/>
        <w:bidi w:val="0"/>
        <w:spacing w:before="0" w:after="0"/>
        <w:ind w:hanging="0" w:start="0" w:end="0"/>
        <w:jc w:val="start"/>
        <w:rPr/>
      </w:pPr>
      <w:r>
        <w:rPr/>
        <w:t xml:space="preserve">https://vivo.health.unm.edu/display/n1308222860 </w:t>
      </w:r>
    </w:p>
    <w:p>
      <w:pPr>
        <w:pStyle w:val="BodyText"/>
        <w:bidi w:val="0"/>
        <w:spacing w:before="0" w:after="0"/>
        <w:ind w:hanging="0" w:start="0" w:end="0"/>
        <w:jc w:val="start"/>
        <w:rPr/>
      </w:pPr>
      <w:r>
        <w:rPr/>
      </w:r>
    </w:p>
    <w:p>
      <w:pPr>
        <w:pStyle w:val="BodyText"/>
        <w:bidi w:val="0"/>
        <w:spacing w:before="0" w:after="0"/>
        <w:ind w:hanging="0" w:start="0" w:end="0"/>
        <w:jc w:val="start"/>
        <w:rPr/>
      </w:pPr>
      <w:r>
        <w:rPr/>
        <w:t>abstract</w:t>
      </w:r>
    </w:p>
    <w:p>
      <w:pPr>
        <w:pStyle w:val="BodyText"/>
        <w:bidi w:val="0"/>
        <w:spacing w:before="0" w:after="0"/>
        <w:ind w:hanging="0" w:start="0" w:end="0"/>
        <w:jc w:val="start"/>
        <w:rPr/>
      </w:pPr>
      <w:r>
        <w:rPr/>
      </w:r>
    </w:p>
    <w:p>
      <w:pPr>
        <w:pStyle w:val="BodyText"/>
        <w:bidi w:val="0"/>
        <w:spacing w:before="0" w:after="0"/>
        <w:ind w:hanging="0" w:start="0" w:end="0"/>
        <w:jc w:val="start"/>
        <w:rPr/>
      </w:pPr>
      <w:r>
        <w:rPr/>
        <w:t>In this study, we investigated the possible link between lipid peroxidation (LPO) and the formation of protein carbonyls (PCOs) during depletion of brain glutathione (GSH). To this end, rat brain slices were incubated with the GSH depletor diethyl maleate (DEM) in the absence or presence of classical LPO scavengers: trolox, caffeic acid phenethyl ester (CAPE), and butylated hydroxytoluene (BHT). All three scavengers reduced DEM-induced lipid oxidation and protein carbonylation, suggesting that intermediates/products of the LPO pathway such as lipid hydroperoxides, 4-hydroxynonenal and/or malondialdehyde are involved in the process. Additional in vitro experiments revealed that, among these products, lipid hydroperoxides are most likely responsible for protein oxidation. Interestingly, BHT prevented the carbonylation of cytoskeletal proteins but not that of soluble proteins, suggesting the existence of different mechanisms of PCO formation during GSH depletion. In pull-down experiments, beta-actin and alpha/beta-tubulin were identified as major carbonylation targets during GSH depletion, although other cytoskeletal proteins such as neurofilament proteins and glial fibrillary acidic protein were also carbonylated. These findings may be important in the context of neurological disorders that exhibit decreased GSH levels and increased protein carbonylation such as Parkinson's disease, Alzheimer's disease, and multiple sclerosis.</w:t>
      </w:r>
    </w:p>
    <w:p>
      <w:pPr>
        <w:pStyle w:val="BodyText"/>
        <w:bidi w:val="0"/>
        <w:spacing w:before="0" w:after="0"/>
        <w:ind w:hanging="0" w:start="0" w:end="0"/>
        <w:jc w:val="start"/>
        <w:rPr/>
      </w:pPr>
      <w:r>
        <w:rPr/>
      </w:r>
    </w:p>
    <w:p>
      <w:pPr>
        <w:pStyle w:val="BodyText"/>
        <w:bidi w:val="0"/>
        <w:spacing w:before="0" w:after="0"/>
        <w:ind w:hanging="0" w:start="0" w:end="0"/>
        <w:jc w:val="start"/>
        <w:rPr/>
      </w:pPr>
      <w:r>
        <w:rPr/>
        <w:t>BHT is readily available. Trolox is a prescription and CAPE is very expensive.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Pages>
  <Words>209</Words>
  <Characters>1396</Characters>
  <CharactersWithSpaces>1601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2026-05-09T18:46:14Z</dcterms:created>
  <dc:creator/>
  <dc:description/>
  <dc:language>en-US</dc:language>
  <cp:lastModifiedBy/>
  <dcterms:modified xsi:type="dcterms:W3CDTF">2026-05-09T18:46:52Z</dcterms:modified>
  <cp:revision>1</cp:revision>
  <dc:subject/>
  <dc:title/>
</cp:coreProperties>
</file>