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You'll start it in Lesson 2 with almost everything blank, and you'll come back to add, cross out, and rewrite sections as your game changes all year. That's normal and expected - professional game designers rewrite their design docs constantly too.</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Lesson 2's Key Press Reactor is this question in its simplest possible form: what happens when you press a key? Everything you add later builds on that same idea.</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Starts pre-filled with your Lesson 2 Key Press Reactor mapping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(starting point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2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Move the sprite right via a directional button.</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Move the sprite right, left, up, and down via different, appropriate directional buttons.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Animate: blink while moving, static when idle.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Sound: beep-beep while moving, silent when idle.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Recolor: different color for each direction, reset when idle.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Clamp: keep movement on the screen.</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group everything triggered by the same action in one place in the code.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is the placeholder sound effect provided in early lessons - swap it out here with what you actually want once you know.</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2 Starter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2026-07-31T17:17:17.381Z</dcterms:created>
  <dcterms:modified xsi:type="dcterms:W3CDTF">2026-07-31T17:17:17.381Z</dcterms:modified>
</cp:coreProperties>
</file>

<file path=docProps/custom.xml><?xml version="1.0" encoding="utf-8"?>
<Properties xmlns="http://schemas.openxmlformats.org/officeDocument/2006/custom-properties" xmlns:vt="http://schemas.openxmlformats.org/officeDocument/2006/docPropsVTypes"/>
</file>