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2"/>
          <w:szCs w:val="32"/>
        </w:rPr>
        <w:t xml:space="preserve">Lesson 10 Sidebars</w:t>
      </w:r>
    </w:p>
    <w:p>
      <w:pPr>
        <w:spacing w:after="60"/>
        <w:jc w:val="center"/>
      </w:pPr>
      <w:r>
        <w:rPr>
          <w:color w:val="1C4A86"/>
          <w:sz w:val="22"/>
          <w:szCs w:val="22"/>
        </w:rPr>
        <w:t xml:space="preserve">Play It Again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spacing w:after="160"/>
      </w:pPr>
      <w:r>
        <w:rPr>
          <w:i/>
          <w:iCs/>
          <w:color w:val="555555"/>
        </w:rPr>
        <w:t xml:space="preserve">These aren't part of the lesson's required work. Think of them the way a textbook sidebar works: a deeper, tangential look at something this lesson's build actually ran into - why one approach was chosen over the others, what the alternatives were, or an idea worth a longer look than the Handout has room for. Pull one out for a discussion moment if it fits, hand it to a curious student, or skip it entirely - nothing here is required reading.</w:t>
      </w:r>
    </w:p>
    <w:p>
      <w:pPr>
        <w:pStyle w:val="Heading1"/>
      </w:pPr>
      <w:r>
        <w:t xml:space="preserve">The Engine Says It Can Do That - Should You Trust It?</w:t>
      </w:r>
    </w:p>
    <w:p>
      <w:pPr>
        <w:spacing w:after="200"/>
      </w:pPr>
      <w:r>
        <w:rPr>
          <w:i/>
          <w:iCs/>
          <w:color w:val="1C4A86"/>
          <w:sz w:val="24"/>
          <w:szCs w:val="24"/>
        </w:rPr>
        <w:t xml:space="preserve">001 Game Creator actually has a built-in "Restart Game" action. This lesson doesn't use it. That's on purpose.</w:t>
      </w:r>
    </w:p>
    <w:p>
      <w:pPr>
        <w:spacing w:after="160"/>
      </w:pPr>
      <w:r>
        <w:t xml:space="preserve">While researching this lesson, a genuine built-in Restart Game action turned up in 001 Game Creator, confirmed to exist via community documentation. At first glance it looked like it would make this entire lesson's Custom Event/reset logic unnecessary. It wasn't used, for one specific reason: nowhere in the official documentation is it clearly specified exactly what state the action resets, and what it leaves alone. For a course built specifically around verified engine behavior - a standard held to deliberately, given how often this particular engine's real UI and behavior has turned out to differ from a reasonable-sounding guess - an undocumented black box wasn't something to build a lesson, or a student's actual game, around.</w:t>
      </w:r>
    </w:p>
    <w:p>
      <w:pPr>
        <w:spacing w:after="160"/>
      </w:pPr>
      <w:r>
        <w:t xml:space="preserve">The choice made instead: build the reset manually and explicitly, using a Custom Event that spells out exactly what gets reset, in full view, line by line. Genuinely more setup than clicking one built-in action - but every part of it is verifiable, debuggable, and actually understood by the student who built it, rather than trusted on faith.</w:t>
      </w:r>
    </w:p>
    <w:p>
      <w:pPr>
        <w:spacing w:after="160"/>
      </w:pPr>
      <w:r>
        <w:t xml:space="preserve">The general principle worth naming directly: "the engine has a button for that" is not the same question as "should I press it." A convenient-looking built-in feature is only as trustworthy as its documentation - if you can't find or confirm exactly what it does, that's a real, professional signal to consider the manual, explicit version instead, even though it costs more time up front. This isn't just a beginner-course caution; it's a genuine, everyday engineering judgment call.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 smaller companion example, same lesson: </w:t>
      </w:r>
      <w:r>
        <w:t xml:space="preserve">GDevelop's version of "run this logic from two different places" doesn't use anything like a callable function at all - it just makes the SAME event group reachable through an "Or" condition (scene start, OR a restart flag being set). A completely different mechanism, an equally valid solution to the same underlying problem ("one place, two ways in") - a good reminder that "the same concept" doesn't have to mean "the same implementation," a theme that comes up constantly across this course's 8 engines.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10 Sidebars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4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2026-08-04T20:22:57.374Z</dcterms:created>
  <dcterms:modified xsi:type="dcterms:W3CDTF">2026-08-04T20:22:57.374Z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