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1B3E9" w14:textId="7E9C2490" w:rsidR="001639C0" w:rsidRPr="00A3394C" w:rsidRDefault="00090BF6" w:rsidP="001639C0">
      <w:pPr>
        <w:rPr>
          <w:b/>
          <w:bCs/>
        </w:rPr>
      </w:pPr>
      <w:r w:rsidRPr="00A3394C">
        <w:rPr>
          <w:b/>
          <w:bCs/>
        </w:rPr>
        <w:t>Description of GDP Trends</w:t>
      </w:r>
    </w:p>
    <w:p w14:paraId="5656F8D5" w14:textId="77777777" w:rsidR="001639C0" w:rsidRPr="00A3394C" w:rsidRDefault="001639C0" w:rsidP="001639C0">
      <w:pPr>
        <w:rPr>
          <w:i/>
          <w:iCs/>
        </w:rPr>
      </w:pPr>
    </w:p>
    <w:p w14:paraId="3F68D856" w14:textId="45B6E2B1" w:rsidR="00CE3160" w:rsidRPr="00A3394C" w:rsidRDefault="00CE3160" w:rsidP="001639C0">
      <w:pPr>
        <w:jc w:val="both"/>
      </w:pPr>
      <w:r w:rsidRPr="00A3394C">
        <w:rPr>
          <w:b/>
          <w:bCs/>
        </w:rPr>
        <w:t>Key Words:</w:t>
      </w:r>
      <w:r w:rsidRPr="00A3394C">
        <w:t xml:space="preserve"> </w:t>
      </w:r>
      <w:r w:rsidR="00E963FB" w:rsidRPr="00A3394C">
        <w:t>a</w:t>
      </w:r>
      <w:r w:rsidRPr="00A3394C">
        <w:t xml:space="preserve">rithmetic </w:t>
      </w:r>
      <w:r w:rsidR="00E963FB" w:rsidRPr="00A3394C">
        <w:t>m</w:t>
      </w:r>
      <w:r w:rsidRPr="00A3394C">
        <w:t xml:space="preserve">ean, </w:t>
      </w:r>
      <w:r w:rsidR="00E963FB" w:rsidRPr="00A3394C">
        <w:t>g</w:t>
      </w:r>
      <w:r w:rsidRPr="00A3394C">
        <w:t xml:space="preserve">eometric </w:t>
      </w:r>
      <w:r w:rsidR="00E963FB" w:rsidRPr="00A3394C">
        <w:t>m</w:t>
      </w:r>
      <w:r w:rsidRPr="00A3394C">
        <w:t xml:space="preserve">ean, </w:t>
      </w:r>
      <w:r w:rsidR="00E963FB" w:rsidRPr="00A3394C">
        <w:t>s</w:t>
      </w:r>
      <w:r w:rsidRPr="00A3394C">
        <w:t>tatistics</w:t>
      </w:r>
    </w:p>
    <w:p w14:paraId="21816EF8" w14:textId="77777777" w:rsidR="001639C0" w:rsidRPr="00A3394C" w:rsidRDefault="001639C0" w:rsidP="001639C0">
      <w:pPr>
        <w:jc w:val="both"/>
      </w:pPr>
    </w:p>
    <w:p w14:paraId="4A869EFC" w14:textId="675FCDFF" w:rsidR="001639C0" w:rsidRPr="00A3394C" w:rsidRDefault="00D039EB" w:rsidP="001639C0">
      <w:pPr>
        <w:jc w:val="both"/>
      </w:pPr>
      <w:r w:rsidRPr="00A3394C">
        <w:t xml:space="preserve">Gross Domestic Product (GDP) represents the monetary value of all goods and services newly produced within a specific area during a given </w:t>
      </w:r>
      <w:r w:rsidR="00DF2728" w:rsidRPr="00A3394C">
        <w:t>period</w:t>
      </w:r>
      <w:r w:rsidRPr="00A3394C">
        <w:t xml:space="preserve">. In macroeconomics, GDP is used as an indicator to assess the performance of national economies. For </w:t>
      </w:r>
      <w:r w:rsidR="00EF37E7">
        <w:t>example</w:t>
      </w:r>
      <w:r w:rsidRPr="00A3394C">
        <w:t xml:space="preserve">, it can </w:t>
      </w:r>
      <w:r w:rsidR="00EF37E7">
        <w:t xml:space="preserve">be used to </w:t>
      </w:r>
      <w:r w:rsidRPr="00A3394C">
        <w:t>compare the economic performance of European Union member states in 2023 (see Figure 1).</w:t>
      </w:r>
    </w:p>
    <w:p w14:paraId="59091B99" w14:textId="77777777" w:rsidR="00F353A6" w:rsidRPr="00A3394C" w:rsidRDefault="00F353A6" w:rsidP="001639C0">
      <w:pPr>
        <w:jc w:val="both"/>
      </w:pPr>
    </w:p>
    <w:p w14:paraId="35A80E70" w14:textId="77777777" w:rsidR="000B5DFF" w:rsidRPr="00A3394C" w:rsidRDefault="00E72C31" w:rsidP="000B5DFF">
      <w:pPr>
        <w:keepNext/>
        <w:jc w:val="both"/>
      </w:pPr>
      <w:r w:rsidRPr="00A3394C">
        <w:rPr>
          <w:noProof/>
          <w14:ligatures w14:val="standardContextual"/>
        </w:rPr>
        <w:drawing>
          <wp:inline distT="0" distB="0" distL="0" distR="0" wp14:anchorId="37599A1B" wp14:editId="089972F5">
            <wp:extent cx="5731510" cy="2118995"/>
            <wp:effectExtent l="0" t="0" r="0" b="1905"/>
            <wp:docPr id="1674020143"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20143" name="Picture 1" descr="A graph of a number of countries/regions&#10;&#10;Description automatically generated"/>
                    <pic:cNvPicPr/>
                  </pic:nvPicPr>
                  <pic:blipFill>
                    <a:blip r:embed="rId8"/>
                    <a:stretch>
                      <a:fillRect/>
                    </a:stretch>
                  </pic:blipFill>
                  <pic:spPr>
                    <a:xfrm>
                      <a:off x="0" y="0"/>
                      <a:ext cx="5731510" cy="2118995"/>
                    </a:xfrm>
                    <a:prstGeom prst="rect">
                      <a:avLst/>
                    </a:prstGeom>
                  </pic:spPr>
                </pic:pic>
              </a:graphicData>
            </a:graphic>
          </wp:inline>
        </w:drawing>
      </w:r>
    </w:p>
    <w:p w14:paraId="668718D3" w14:textId="6DFAB52D" w:rsidR="00055F06" w:rsidRPr="00A3394C" w:rsidRDefault="002F7144" w:rsidP="00055F06">
      <w:pPr>
        <w:pStyle w:val="Titulek"/>
        <w:spacing w:after="0"/>
        <w:jc w:val="center"/>
      </w:pPr>
      <w:bookmarkStart w:id="0" w:name="_Ref185401506"/>
      <w:r w:rsidRPr="00A3394C">
        <w:t>Fig</w:t>
      </w:r>
      <w:r w:rsidR="000B5DFF" w:rsidRPr="00A3394C">
        <w:t xml:space="preserve">.  </w:t>
      </w:r>
      <w:r w:rsidR="000B5DFF" w:rsidRPr="00A3394C">
        <w:fldChar w:fldCharType="begin"/>
      </w:r>
      <w:r w:rsidR="000B5DFF" w:rsidRPr="00A3394C">
        <w:instrText xml:space="preserve"> SEQ Obr._ \* ARABIC </w:instrText>
      </w:r>
      <w:r w:rsidR="000B5DFF" w:rsidRPr="00A3394C">
        <w:fldChar w:fldCharType="separate"/>
      </w:r>
      <w:r w:rsidR="001919B2">
        <w:rPr>
          <w:noProof/>
        </w:rPr>
        <w:t>1</w:t>
      </w:r>
      <w:r w:rsidR="000B5DFF" w:rsidRPr="00A3394C">
        <w:fldChar w:fldCharType="end"/>
      </w:r>
      <w:bookmarkEnd w:id="0"/>
      <w:r w:rsidR="000B5DFF" w:rsidRPr="00A3394C">
        <w:t xml:space="preserve">: </w:t>
      </w:r>
      <w:r w:rsidR="00CA7153" w:rsidRPr="00A3394C">
        <w:t>Comparison of GDP among EU Member States in 2023</w:t>
      </w:r>
    </w:p>
    <w:p w14:paraId="5EBE6348" w14:textId="3665C973" w:rsidR="001639C0" w:rsidRPr="00A3394C" w:rsidRDefault="000B5DFF" w:rsidP="00055F06">
      <w:pPr>
        <w:pStyle w:val="Titulek"/>
        <w:spacing w:after="0"/>
        <w:jc w:val="center"/>
      </w:pPr>
      <w:r w:rsidRPr="00A3394C">
        <w:t>(</w:t>
      </w:r>
      <w:r w:rsidR="007A372D" w:rsidRPr="00A3394C">
        <w:t>The orange line indicates the EU’s average GDP per person, equivalent to €29,280.</w:t>
      </w:r>
      <w:r w:rsidR="00C12A95" w:rsidRPr="00A3394C">
        <w:t>)</w:t>
      </w:r>
    </w:p>
    <w:p w14:paraId="40E10996" w14:textId="77777777" w:rsidR="001639C0" w:rsidRPr="00A3394C" w:rsidRDefault="001639C0" w:rsidP="001639C0">
      <w:pPr>
        <w:jc w:val="both"/>
      </w:pPr>
    </w:p>
    <w:p w14:paraId="6B6027BC" w14:textId="77777777" w:rsidR="00473652" w:rsidRPr="00A3394C" w:rsidRDefault="00473652" w:rsidP="001639C0">
      <w:pPr>
        <w:jc w:val="both"/>
      </w:pPr>
    </w:p>
    <w:p w14:paraId="1E042BF2" w14:textId="00404502" w:rsidR="00B9194F" w:rsidRPr="00A3394C" w:rsidRDefault="00B9194F" w:rsidP="00B634B1">
      <w:pPr>
        <w:jc w:val="both"/>
      </w:pPr>
      <w:r w:rsidRPr="00A3394C">
        <w:t xml:space="preserve">Another way to use GDP is to track a country's performance over time. For example, we can examine the GDP per person for the European Union from 2020 to 2023 when the EU had 27 member states (see Figure 2). </w:t>
      </w:r>
      <w:r w:rsidR="00DF2B66" w:rsidRPr="00DF2B66">
        <w:t>The time series illustrating this trend is shown in Figure 2. (Data source</w:t>
      </w:r>
      <w:r w:rsidR="00E512AF">
        <w:t>:</w:t>
      </w:r>
      <w:r w:rsidR="00DF2B66">
        <w:t xml:space="preserve"> [2])</w:t>
      </w:r>
    </w:p>
    <w:p w14:paraId="1ECC0848" w14:textId="77777777" w:rsidR="00BD2357" w:rsidRPr="00A3394C" w:rsidRDefault="00BD2357" w:rsidP="001639C0">
      <w:pPr>
        <w:jc w:val="both"/>
      </w:pPr>
    </w:p>
    <w:p w14:paraId="74BB5025" w14:textId="77777777" w:rsidR="001639C0" w:rsidRPr="00A3394C" w:rsidRDefault="001639C0" w:rsidP="001639C0">
      <w:pPr>
        <w:jc w:val="both"/>
      </w:pPr>
    </w:p>
    <w:p w14:paraId="73F0870A" w14:textId="77777777" w:rsidR="003E62CD" w:rsidRPr="00A3394C" w:rsidRDefault="003E62CD" w:rsidP="003E62CD">
      <w:pPr>
        <w:pStyle w:val="Titulek"/>
        <w:keepNext/>
        <w:jc w:val="center"/>
      </w:pPr>
      <w:r w:rsidRPr="00A3394C">
        <w:rPr>
          <w:noProof/>
        </w:rPr>
        <w:drawing>
          <wp:inline distT="0" distB="0" distL="0" distR="0" wp14:anchorId="171543A5" wp14:editId="1DFAFDA4">
            <wp:extent cx="5248910" cy="2023745"/>
            <wp:effectExtent l="0" t="0" r="8890" b="0"/>
            <wp:docPr id="77042790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023745"/>
                    </a:xfrm>
                    <a:prstGeom prst="rect">
                      <a:avLst/>
                    </a:prstGeom>
                    <a:noFill/>
                  </pic:spPr>
                </pic:pic>
              </a:graphicData>
            </a:graphic>
          </wp:inline>
        </w:drawing>
      </w:r>
    </w:p>
    <w:p w14:paraId="45B2CD31" w14:textId="500CC3D0" w:rsidR="001639C0" w:rsidRPr="00A3394C" w:rsidRDefault="00A979A7" w:rsidP="008476E7">
      <w:pPr>
        <w:pStyle w:val="Titulek"/>
        <w:jc w:val="center"/>
      </w:pPr>
      <w:r w:rsidRPr="00A3394C">
        <w:t>Fig. 2: GDP Trend</w:t>
      </w:r>
      <w:r w:rsidR="00F94B9A" w:rsidRPr="00A3394C">
        <w:t>s</w:t>
      </w:r>
      <w:r w:rsidRPr="00A3394C">
        <w:t xml:space="preserve"> </w:t>
      </w:r>
      <w:r w:rsidR="004251B9" w:rsidRPr="00A3394C">
        <w:t>in EU</w:t>
      </w:r>
      <w:r w:rsidRPr="00A3394C">
        <w:t xml:space="preserve"> per </w:t>
      </w:r>
      <w:r w:rsidR="008476E7" w:rsidRPr="00A3394C">
        <w:t>Person</w:t>
      </w:r>
      <w:r w:rsidRPr="00A3394C">
        <w:t xml:space="preserve"> from 2020 to 2023</w:t>
      </w:r>
      <w:r w:rsidR="004251B9" w:rsidRPr="00A3394C">
        <w:br/>
      </w:r>
    </w:p>
    <w:p w14:paraId="43C8EF7A" w14:textId="2222EC3F" w:rsidR="00F94B9A" w:rsidRPr="00A3394C" w:rsidRDefault="00F94B9A" w:rsidP="001639C0">
      <w:pPr>
        <w:jc w:val="both"/>
      </w:pPr>
      <w:r w:rsidRPr="00A3394C">
        <w:t xml:space="preserve">A time series showing GDP trends is referred to as an interval-based time series. The data in such a series depends on the length of the </w:t>
      </w:r>
      <w:r w:rsidR="00CB42A6" w:rsidRPr="00A3394C">
        <w:t>analyzed</w:t>
      </w:r>
      <w:r w:rsidRPr="00A3394C">
        <w:t xml:space="preserve"> interval (in this case, </w:t>
      </w:r>
      <w:r w:rsidR="008962E1" w:rsidRPr="00A3394C">
        <w:t>on the length of the given year</w:t>
      </w:r>
      <w:r w:rsidRPr="00A3394C">
        <w:t>).</w:t>
      </w:r>
    </w:p>
    <w:p w14:paraId="6AE1A70B" w14:textId="1969A562" w:rsidR="001639C0" w:rsidRPr="00A3394C" w:rsidRDefault="001639C0" w:rsidP="001639C0">
      <w:pPr>
        <w:jc w:val="both"/>
      </w:pPr>
      <w:r w:rsidRPr="00A3394C">
        <w:t xml:space="preserve"> </w:t>
      </w:r>
    </w:p>
    <w:p w14:paraId="00E4A60F" w14:textId="5A542BE9" w:rsidR="00FA3B52" w:rsidRPr="00A3394C" w:rsidRDefault="002C4170" w:rsidP="001639C0">
      <w:pPr>
        <w:jc w:val="both"/>
        <w:rPr>
          <w:rFonts w:eastAsiaTheme="minorEastAsia"/>
        </w:rPr>
      </w:pPr>
      <w:r w:rsidRPr="00A3394C">
        <w:rPr>
          <w:rFonts w:eastAsiaTheme="minorEastAsia"/>
        </w:rPr>
        <w:t xml:space="preserve">Let the </w:t>
      </w:r>
      <w:r w:rsidR="00763568" w:rsidRPr="00A3394C">
        <w:rPr>
          <w:rFonts w:eastAsiaTheme="minorEastAsia"/>
        </w:rPr>
        <w:t>value</w:t>
      </w:r>
      <w:r w:rsidR="00995468" w:rsidRPr="00A3394C">
        <w:rPr>
          <w:rFonts w:eastAsiaTheme="minorEastAsia"/>
        </w:rPr>
        <w:t xml:space="preserve">s </w:t>
      </w:r>
      <m:oMath>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n</m:t>
            </m:r>
          </m:sub>
        </m:sSub>
      </m:oMath>
      <w:r w:rsidR="00995468" w:rsidRPr="00A3394C">
        <w:rPr>
          <w:rFonts w:eastAsiaTheme="minorEastAsia"/>
        </w:rPr>
        <w:t xml:space="preserve"> of the time series correspond to the </w:t>
      </w:r>
      <w:r w:rsidRPr="00A3394C">
        <w:rPr>
          <w:rFonts w:eastAsiaTheme="minorEastAsia"/>
        </w:rPr>
        <w:t xml:space="preserve">time points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n</m:t>
            </m:r>
          </m:sub>
        </m:sSub>
      </m:oMath>
      <w:r w:rsidR="00995468" w:rsidRPr="00A3394C">
        <w:rPr>
          <w:rFonts w:eastAsiaTheme="minorEastAsia"/>
          <w:kern w:val="2"/>
          <w:lang w:eastAsia="en-US"/>
          <w14:ligatures w14:val="standardContextual"/>
        </w:rPr>
        <w:t>.</w:t>
      </w:r>
      <w:r w:rsidRPr="00A3394C">
        <w:t xml:space="preserve"> </w:t>
      </w:r>
    </w:p>
    <w:p w14:paraId="04ACC99E" w14:textId="77777777" w:rsidR="00FA3B52" w:rsidRPr="00A3394C" w:rsidRDefault="00FA3B52" w:rsidP="001639C0">
      <w:pPr>
        <w:jc w:val="both"/>
        <w:rPr>
          <w:rFonts w:eastAsiaTheme="minorEastAsia"/>
        </w:rPr>
      </w:pPr>
    </w:p>
    <w:p w14:paraId="63D82D20" w14:textId="0F2F56C5" w:rsidR="001639C0" w:rsidRPr="00A3394C" w:rsidRDefault="00EC126A" w:rsidP="001639C0">
      <w:pPr>
        <w:jc w:val="both"/>
      </w:pPr>
      <w:r w:rsidRPr="00A3394C">
        <w:t>The primary characteristic used to describe this time series is its mean.</w:t>
      </w:r>
    </w:p>
    <w:p w14:paraId="250D3273" w14:textId="77777777" w:rsidR="001639C0" w:rsidRPr="00A3394C" w:rsidRDefault="001639C0" w:rsidP="001639C0">
      <w:pPr>
        <w:jc w:val="both"/>
      </w:pPr>
    </w:p>
    <w:p w14:paraId="288F3FE9" w14:textId="7D0F502B" w:rsidR="00876A32" w:rsidRPr="00A3394C" w:rsidRDefault="00B4139B" w:rsidP="000373DA">
      <w:pPr>
        <w:pStyle w:val="Odstavecseseznamem"/>
        <w:numPr>
          <w:ilvl w:val="0"/>
          <w:numId w:val="7"/>
        </w:numPr>
        <w:jc w:val="both"/>
        <w:rPr>
          <w:rFonts w:eastAsiaTheme="minorEastAsia"/>
        </w:rPr>
      </w:pPr>
      <w:r w:rsidRPr="00A3394C">
        <w:rPr>
          <w:rFonts w:eastAsiaTheme="minorEastAsia"/>
          <w:b/>
          <w:bCs/>
        </w:rPr>
        <w:t>Me</w:t>
      </w:r>
      <w:r w:rsidR="00E90B00" w:rsidRPr="00A3394C">
        <w:rPr>
          <w:rFonts w:eastAsiaTheme="minorEastAsia"/>
          <w:b/>
          <w:bCs/>
        </w:rPr>
        <w:t>an of an interval-based time series</w:t>
      </w:r>
      <w:r w:rsidR="00876A32" w:rsidRPr="00A3394C">
        <w:rPr>
          <w:rFonts w:eastAsiaTheme="minorEastAsia"/>
          <w:b/>
          <w:bCs/>
        </w:rPr>
        <w:t xml:space="preserve"> </w:t>
      </w:r>
      <w:r w:rsidR="00876A32" w:rsidRPr="00A3394C">
        <w:rPr>
          <w:rFonts w:eastAsiaTheme="minorEastAsia"/>
        </w:rPr>
        <w:t>(</w:t>
      </w:r>
      <m:oMath>
        <m:acc>
          <m:accPr>
            <m:chr m:val="̅"/>
            <m:ctrlPr>
              <w:rPr>
                <w:rFonts w:ascii="Cambria Math" w:eastAsiaTheme="minorHAnsi" w:hAnsi="Cambria Math"/>
                <w:b/>
                <w:bCs/>
                <w:i/>
                <w:kern w:val="2"/>
                <w:lang w:eastAsia="en-US"/>
                <w14:ligatures w14:val="standardContextual"/>
              </w:rPr>
            </m:ctrlPr>
          </m:accPr>
          <m:e>
            <m:r>
              <m:rPr>
                <m:sty m:val="bi"/>
              </m:rPr>
              <w:rPr>
                <w:rFonts w:ascii="Cambria Math" w:hAnsi="Cambria Math"/>
              </w:rPr>
              <m:t>y</m:t>
            </m:r>
          </m:e>
        </m:acc>
        <m:r>
          <m:rPr>
            <m:sty m:val="bi"/>
          </m:rPr>
          <w:rPr>
            <w:rFonts w:ascii="Cambria Math" w:hAnsi="Cambria Math"/>
          </w:rPr>
          <m:t>)</m:t>
        </m:r>
      </m:oMath>
    </w:p>
    <w:p w14:paraId="27D85777" w14:textId="7D70F07F" w:rsidR="00E90B00" w:rsidRPr="005A4A11" w:rsidRDefault="008F6930" w:rsidP="005A4A11">
      <w:pPr>
        <w:pStyle w:val="Odstavecseseznamem"/>
        <w:ind w:left="360"/>
        <w:jc w:val="both"/>
        <w:rPr>
          <w:rFonts w:eastAsiaTheme="minorEastAsia"/>
        </w:rPr>
      </w:pPr>
      <w:r>
        <w:rPr>
          <w:rFonts w:eastAsiaTheme="minorEastAsia"/>
        </w:rPr>
        <w:t xml:space="preserve">It </w:t>
      </w:r>
      <w:r w:rsidR="00E90B00" w:rsidRPr="00A3394C">
        <w:rPr>
          <w:rFonts w:eastAsiaTheme="minorEastAsia"/>
        </w:rPr>
        <w:t>is calculated as a simple arithmetic mean:</w:t>
      </w:r>
    </w:p>
    <w:p w14:paraId="6D65A062" w14:textId="77777777" w:rsidR="001639C0" w:rsidRPr="00A3394C" w:rsidRDefault="001639C0" w:rsidP="001639C0">
      <w:pPr>
        <w:jc w:val="both"/>
        <w:rPr>
          <w:rFonts w:eastAsiaTheme="minorEastAsia"/>
        </w:rPr>
      </w:pPr>
    </w:p>
    <w:p w14:paraId="53A4780C" w14:textId="5B3181AB" w:rsidR="001639C0" w:rsidRPr="00A3394C" w:rsidRDefault="00000000" w:rsidP="001639C0">
      <w:pPr>
        <w:jc w:val="center"/>
        <w:rPr>
          <w:rFonts w:eastAsiaTheme="minorEastAsia"/>
        </w:rPr>
      </w:pPr>
      <m:oMath>
        <m:acc>
          <m:accPr>
            <m:chr m:val="̅"/>
            <m:ctrlPr>
              <w:rPr>
                <w:rFonts w:ascii="Cambria Math" w:eastAsiaTheme="minorHAnsi" w:hAnsi="Cambria Math"/>
                <w:i/>
                <w:kern w:val="2"/>
                <w:lang w:eastAsia="en-US"/>
                <w14:ligatures w14:val="standardContextual"/>
              </w:rPr>
            </m:ctrlPr>
          </m:accPr>
          <m:e>
            <m:r>
              <w:rPr>
                <w:rFonts w:ascii="Cambria Math" w:hAnsi="Cambria Math"/>
              </w:rPr>
              <m:t>y</m:t>
            </m:r>
          </m:e>
        </m:acc>
        <m:r>
          <w:rPr>
            <w:rFonts w:ascii="Cambria Math" w:eastAsiaTheme="minorEastAsia" w:hAnsi="Cambria Math"/>
          </w:rPr>
          <m:t>=</m:t>
        </m:r>
        <m:f>
          <m:fPr>
            <m:ctrlPr>
              <w:rPr>
                <w:rFonts w:ascii="Cambria Math" w:eastAsiaTheme="minorEastAsia" w:hAnsi="Cambria Math"/>
                <w:i/>
                <w:kern w:val="2"/>
                <w:lang w:eastAsia="en-US"/>
                <w14:ligatures w14:val="standardContextual"/>
              </w:rPr>
            </m:ctrlPr>
          </m:fPr>
          <m:num>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n</m:t>
                </m:r>
              </m:sub>
            </m:sSub>
          </m:num>
          <m:den>
            <m:r>
              <w:rPr>
                <w:rFonts w:ascii="Cambria Math" w:eastAsiaTheme="minorEastAsia" w:hAnsi="Cambria Math"/>
              </w:rPr>
              <m:t>n</m:t>
            </m:r>
          </m:den>
        </m:f>
      </m:oMath>
      <w:r w:rsidR="001639C0" w:rsidRPr="00A3394C">
        <w:rPr>
          <w:rFonts w:eastAsiaTheme="minorEastAsia"/>
        </w:rPr>
        <w:t xml:space="preserve">                 (1)</w:t>
      </w:r>
    </w:p>
    <w:p w14:paraId="72FAC185" w14:textId="13402152" w:rsidR="001639C0" w:rsidRPr="00A3394C" w:rsidRDefault="001639C0" w:rsidP="00FA3B52">
      <w:pPr>
        <w:jc w:val="both"/>
      </w:pPr>
    </w:p>
    <w:p w14:paraId="4F5D8D20" w14:textId="0B2278A4" w:rsidR="00AB2702" w:rsidRPr="00A3394C" w:rsidRDefault="00AB2702" w:rsidP="00FA3B52">
      <w:pPr>
        <w:jc w:val="both"/>
      </w:pPr>
      <w:r w:rsidRPr="00A3394C">
        <w:t>Besides the mean, we are often interested in the basic measures of time series dynamics, which help characterize the fundamental features of their behavior.</w:t>
      </w:r>
    </w:p>
    <w:p w14:paraId="49FA6AEE" w14:textId="77777777" w:rsidR="001639C0" w:rsidRPr="00A3394C" w:rsidRDefault="001639C0" w:rsidP="001639C0">
      <w:pPr>
        <w:jc w:val="both"/>
      </w:pPr>
    </w:p>
    <w:p w14:paraId="5E03AADD" w14:textId="55BBFB62" w:rsidR="001639C0" w:rsidRPr="00A3394C" w:rsidRDefault="000B44FF" w:rsidP="004A3EE5">
      <w:pPr>
        <w:pStyle w:val="Zpat"/>
        <w:numPr>
          <w:ilvl w:val="0"/>
          <w:numId w:val="2"/>
        </w:numPr>
        <w:tabs>
          <w:tab w:val="clear" w:pos="360"/>
          <w:tab w:val="clear" w:pos="4703"/>
          <w:tab w:val="clear" w:pos="9406"/>
          <w:tab w:val="num" w:pos="717"/>
        </w:tabs>
        <w:spacing w:line="288" w:lineRule="auto"/>
        <w:ind w:left="357" w:hanging="357"/>
        <w:rPr>
          <w:b/>
          <w:i/>
        </w:rPr>
      </w:pPr>
      <w:r w:rsidRPr="00A3394C">
        <w:rPr>
          <w:b/>
        </w:rPr>
        <w:t>Absolute Change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oMath>
      <w:r w:rsidRPr="00A3394C">
        <w:rPr>
          <w:b/>
        </w:rPr>
        <w:t>)</w:t>
      </w:r>
    </w:p>
    <w:p w14:paraId="08BF07E4" w14:textId="47D27996" w:rsidR="00661154" w:rsidRPr="00A3394C" w:rsidRDefault="00661154" w:rsidP="001639C0">
      <w:pPr>
        <w:pStyle w:val="Norm2"/>
      </w:pPr>
      <w:r w:rsidRPr="00A3394C">
        <w:t>The simplest measure of change in a time series is the absolute change, which tells us "by how much" the series changed between time points:</w:t>
      </w:r>
    </w:p>
    <w:p w14:paraId="4DBEC909" w14:textId="77777777" w:rsidR="001639C0" w:rsidRPr="00A3394C" w:rsidRDefault="001639C0" w:rsidP="001639C0">
      <w:pPr>
        <w:pStyle w:val="Norm2"/>
      </w:pPr>
    </w:p>
    <w:p w14:paraId="2B333590" w14:textId="033B39AC" w:rsidR="001639C0" w:rsidRPr="00A3394C" w:rsidRDefault="001639C0" w:rsidP="001639C0">
      <w:pPr>
        <w:pStyle w:val="Zpat"/>
        <w:ind w:left="357" w:hanging="357"/>
        <w:jc w:val="cente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t=2,3,…, n.   </m:t>
        </m:r>
      </m:oMath>
      <w:r w:rsidRPr="00A3394C">
        <w:t xml:space="preserve">     (2)</w:t>
      </w:r>
    </w:p>
    <w:p w14:paraId="55023693" w14:textId="2AF521CF" w:rsidR="001639C0" w:rsidRPr="00A3394C" w:rsidRDefault="001639C0" w:rsidP="005A4A11">
      <w:pPr>
        <w:pStyle w:val="Zpat"/>
        <w:ind w:left="357" w:hanging="357"/>
        <w:jc w:val="left"/>
      </w:pPr>
      <w:r w:rsidRPr="00A3394C">
        <w:tab/>
      </w:r>
    </w:p>
    <w:p w14:paraId="6BDABDEB" w14:textId="176F606B" w:rsidR="001639C0" w:rsidRPr="00A3394C" w:rsidRDefault="006F1F5C" w:rsidP="00EB213F">
      <w:pPr>
        <w:pStyle w:val="Zpat"/>
        <w:numPr>
          <w:ilvl w:val="0"/>
          <w:numId w:val="3"/>
        </w:numPr>
        <w:tabs>
          <w:tab w:val="clear" w:pos="360"/>
          <w:tab w:val="clear" w:pos="4703"/>
          <w:tab w:val="clear" w:pos="9406"/>
          <w:tab w:val="num" w:pos="717"/>
        </w:tabs>
        <w:spacing w:line="288" w:lineRule="auto"/>
        <w:ind w:left="357" w:hanging="357"/>
        <w:jc w:val="left"/>
        <w:rPr>
          <w:b/>
          <w:i/>
        </w:rPr>
      </w:pPr>
      <w:r w:rsidRPr="00A3394C">
        <w:rPr>
          <w:b/>
        </w:rPr>
        <w:t>A</w:t>
      </w:r>
      <w:r w:rsidR="00322D95" w:rsidRPr="00A3394C">
        <w:rPr>
          <w:b/>
        </w:rPr>
        <w:t xml:space="preserve">verage </w:t>
      </w:r>
      <w:r w:rsidRPr="00A3394C">
        <w:rPr>
          <w:b/>
        </w:rPr>
        <w:t>A</w:t>
      </w:r>
      <w:r w:rsidR="00322D95" w:rsidRPr="00A3394C">
        <w:rPr>
          <w:b/>
        </w:rPr>
        <w:t xml:space="preserve">bsolute </w:t>
      </w:r>
      <w:r w:rsidRPr="00A3394C">
        <w:rPr>
          <w:b/>
        </w:rPr>
        <w:t>C</w:t>
      </w:r>
      <w:r w:rsidR="00322D95" w:rsidRPr="00A3394C">
        <w:rPr>
          <w:b/>
        </w:rPr>
        <w:t>hange</w:t>
      </w:r>
      <w:r w:rsidRPr="00A3394C">
        <w:rPr>
          <w:b/>
        </w:rPr>
        <w:t xml:space="preserve"> (</w:t>
      </w:r>
      <m:oMath>
        <m:acc>
          <m:accPr>
            <m:chr m:val="̅"/>
            <m:ctrlPr>
              <w:rPr>
                <w:rFonts w:ascii="Cambria Math" w:hAnsi="Cambria Math"/>
                <w:b/>
                <w:i/>
              </w:rPr>
            </m:ctrlPr>
          </m:accPr>
          <m:e>
            <m:r>
              <m:rPr>
                <m:sty m:val="bi"/>
              </m:rPr>
              <w:rPr>
                <w:rFonts w:ascii="Cambria Math" w:hAnsi="Cambria Math"/>
              </w:rPr>
              <m:t>∆</m:t>
            </m:r>
          </m:e>
        </m:acc>
      </m:oMath>
      <w:r w:rsidRPr="00A3394C">
        <w:rPr>
          <w:b/>
        </w:rPr>
        <w:t>)</w:t>
      </w:r>
    </w:p>
    <w:p w14:paraId="2693D4AE" w14:textId="5FFDACAC" w:rsidR="00D52F78" w:rsidRPr="00A3394C" w:rsidRDefault="00F033CA" w:rsidP="00F033CA">
      <w:pPr>
        <w:ind w:left="357"/>
      </w:pPr>
      <w:r>
        <w:t xml:space="preserve">It </w:t>
      </w:r>
      <w:r w:rsidR="00D52F78" w:rsidRPr="00A3394C">
        <w:t>indicates the average change between two measurements during the</w:t>
      </w:r>
      <w:r w:rsidR="00052658">
        <w:t xml:space="preserve"> </w:t>
      </w:r>
      <w:r w:rsidR="002C7623">
        <w:t>observed</w:t>
      </w:r>
      <w:r w:rsidR="00D52F78" w:rsidRPr="00A3394C">
        <w:t xml:space="preserve"> period. </w:t>
      </w:r>
    </w:p>
    <w:p w14:paraId="7BC0C184" w14:textId="12A0ED0D" w:rsidR="001639C0" w:rsidRPr="00A3394C" w:rsidRDefault="001639C0" w:rsidP="00697545"/>
    <w:p w14:paraId="3D32443E" w14:textId="47FFC61D" w:rsidR="007F4F45" w:rsidRPr="00A3394C" w:rsidRDefault="007F4F45" w:rsidP="001639C0">
      <w:pPr>
        <w:pStyle w:val="Norm2"/>
      </w:pPr>
      <w:r w:rsidRPr="00A3394C">
        <w:t>The sum of absolute changes represents the total change in the time series over</w:t>
      </w:r>
      <w:r w:rsidR="00410417">
        <w:t xml:space="preserve"> observed</w:t>
      </w:r>
      <w:r w:rsidRPr="00A3394C">
        <w:t xml:space="preserve"> period (“by how much” the time series changed </w:t>
      </w:r>
      <w:r w:rsidR="00C85C65">
        <w:t>from</w:t>
      </w:r>
      <w:r w:rsidRPr="00A3394C">
        <w:t xml:space="preserve">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1</m:t>
            </m:r>
          </m:sub>
        </m:sSub>
      </m:oMath>
      <w:r w:rsidRPr="00A3394C">
        <w:rPr>
          <w:kern w:val="2"/>
          <w:lang w:eastAsia="en-US"/>
          <w14:ligatures w14:val="standardContextual"/>
        </w:rPr>
        <w:t xml:space="preserve"> </w:t>
      </w:r>
      <w:r w:rsidR="00C85C65">
        <w:rPr>
          <w:kern w:val="2"/>
          <w:lang w:eastAsia="en-US"/>
          <w14:ligatures w14:val="standardContextual"/>
        </w:rPr>
        <w:t>to</w:t>
      </w:r>
      <w:r w:rsidRPr="00A3394C">
        <w:rPr>
          <w:kern w:val="2"/>
          <w:lang w:eastAsia="en-US"/>
          <w14:ligatures w14:val="standardContextual"/>
        </w:rPr>
        <w:t xml:space="preserve">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n</m:t>
            </m:r>
          </m:sub>
        </m:sSub>
      </m:oMath>
      <w:r w:rsidRPr="00A3394C">
        <w:t>):</w:t>
      </w:r>
    </w:p>
    <w:p w14:paraId="4A71CD6F" w14:textId="77777777" w:rsidR="001639C0" w:rsidRPr="00A3394C" w:rsidRDefault="001639C0" w:rsidP="001639C0">
      <w:pPr>
        <w:pStyle w:val="Norm2"/>
      </w:pPr>
    </w:p>
    <w:p w14:paraId="35540010" w14:textId="0647E189" w:rsidR="001639C0" w:rsidRPr="00A3394C" w:rsidRDefault="001639C0" w:rsidP="00C63258">
      <w:pPr>
        <w:pStyle w:val="Norm2"/>
        <w:jc w:val="cente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p w14:paraId="50DBC703" w14:textId="3B3F6325" w:rsidR="001639C0" w:rsidRPr="00A3394C" w:rsidRDefault="00806C8D" w:rsidP="001639C0">
      <w:pPr>
        <w:pStyle w:val="Norm2"/>
      </w:pPr>
      <w:r w:rsidRPr="00A3394C">
        <w:br/>
        <w:t xml:space="preserve">Therefore, </w:t>
      </w:r>
      <w:r w:rsidR="00A43F57" w:rsidRPr="00A3394C">
        <w:t xml:space="preserve">the average absolute change </w:t>
      </w:r>
      <w:r w:rsidR="00766DB2" w:rsidRPr="00A3394C">
        <w:t xml:space="preserve">is calculated as the arithmetic mean of absolute changes: </w:t>
      </w:r>
    </w:p>
    <w:p w14:paraId="1A6E941C" w14:textId="77777777" w:rsidR="001639C0" w:rsidRPr="00A3394C" w:rsidRDefault="001639C0" w:rsidP="001639C0">
      <w:pPr>
        <w:pStyle w:val="Norm2"/>
      </w:pPr>
    </w:p>
    <w:p w14:paraId="6AE20D80" w14:textId="5BA5513D" w:rsidR="001639C0" w:rsidRPr="00A3394C" w:rsidRDefault="00000000" w:rsidP="001639C0">
      <w:pPr>
        <w:pStyle w:val="Zpat"/>
        <w:ind w:left="357" w:hanging="357"/>
        <w:jc w:val="center"/>
      </w:pPr>
      <m:oMath>
        <m:acc>
          <m:accPr>
            <m:chr m:val="̅"/>
            <m:ctrlPr>
              <w:rPr>
                <w:rFonts w:ascii="Cambria Math" w:hAnsi="Cambria Math"/>
                <w:i/>
              </w:rPr>
            </m:ctrlPr>
          </m:accPr>
          <m:e>
            <m:r>
              <w:rPr>
                <w:rFonts w:ascii="Cambria Math" w:hAnsi="Cambria Math"/>
              </w:rPr>
              <m:t>∆</m:t>
            </m:r>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n-1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n-1</m:t>
            </m:r>
          </m:den>
        </m:f>
      </m:oMath>
      <w:r w:rsidR="001639C0" w:rsidRPr="00A3394C">
        <w:t>.         (3)</w:t>
      </w:r>
    </w:p>
    <w:p w14:paraId="3BB9990E" w14:textId="77777777" w:rsidR="001639C0" w:rsidRPr="00A3394C" w:rsidRDefault="001639C0" w:rsidP="003E130D">
      <w:pPr>
        <w:pStyle w:val="Zpat"/>
        <w:ind w:firstLine="0"/>
      </w:pPr>
    </w:p>
    <w:p w14:paraId="461CF692" w14:textId="77777777" w:rsidR="003E130D" w:rsidRDefault="001639C0" w:rsidP="003E130D">
      <w:pPr>
        <w:pStyle w:val="Zpat"/>
      </w:pPr>
      <w:r w:rsidRPr="00A3394C">
        <w:t xml:space="preserve"> </w:t>
      </w:r>
      <w:r w:rsidR="00DD26D6" w:rsidRPr="00A3394C">
        <w:t>Notice, this calculation only requires the initial value</w:t>
      </w:r>
      <w:r w:rsidR="00853F9D" w:rsidRPr="00A3394C">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DD26D6" w:rsidRPr="00A3394C">
        <w:t xml:space="preserve">, the final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DD26D6" w:rsidRPr="00A3394C">
        <w:t>, and the number</w:t>
      </w:r>
    </w:p>
    <w:p w14:paraId="26B7A136" w14:textId="70FA568E" w:rsidR="001639C0" w:rsidRPr="00A3394C" w:rsidRDefault="00DD26D6" w:rsidP="003E130D">
      <w:pPr>
        <w:pStyle w:val="Zpat"/>
      </w:pPr>
      <w:r w:rsidRPr="00A3394C">
        <w:t xml:space="preserve">of values </w:t>
      </w:r>
      <m:oMath>
        <m:r>
          <w:rPr>
            <w:rFonts w:ascii="Cambria Math" w:hAnsi="Cambria Math"/>
          </w:rPr>
          <m:t>n</m:t>
        </m:r>
      </m:oMath>
      <w:r w:rsidRPr="00A3394C">
        <w:t>.</w:t>
      </w:r>
    </w:p>
    <w:p w14:paraId="455F7451" w14:textId="77777777" w:rsidR="001639C0" w:rsidRPr="00A3394C" w:rsidRDefault="001639C0" w:rsidP="001639C0">
      <w:pPr>
        <w:pStyle w:val="Zpat"/>
        <w:ind w:left="357" w:hanging="357"/>
        <w:jc w:val="left"/>
      </w:pPr>
    </w:p>
    <w:p w14:paraId="26743230" w14:textId="70A5BE7C" w:rsidR="001639C0" w:rsidRPr="00A3394C" w:rsidRDefault="007C6580" w:rsidP="00E84005">
      <w:pPr>
        <w:pStyle w:val="Zpat"/>
        <w:numPr>
          <w:ilvl w:val="0"/>
          <w:numId w:val="5"/>
        </w:numPr>
        <w:tabs>
          <w:tab w:val="clear" w:pos="360"/>
          <w:tab w:val="clear" w:pos="4703"/>
          <w:tab w:val="clear" w:pos="9406"/>
          <w:tab w:val="num" w:pos="717"/>
        </w:tabs>
        <w:spacing w:line="288" w:lineRule="auto"/>
        <w:ind w:left="357" w:hanging="357"/>
        <w:jc w:val="left"/>
        <w:rPr>
          <w:b/>
          <w:i/>
        </w:rPr>
      </w:pPr>
      <w:r w:rsidRPr="00A3394C">
        <w:rPr>
          <w:b/>
        </w:rPr>
        <w:t>Growth Coefficients (</w:t>
      </w:r>
      <w:r w:rsidR="00E53403" w:rsidRPr="00A3394C">
        <w:rPr>
          <w:b/>
        </w:rPr>
        <w:t xml:space="preserve">Growth Rates,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t</m:t>
            </m:r>
          </m:sub>
        </m:sSub>
      </m:oMath>
      <w:r w:rsidRPr="00A3394C">
        <w:rPr>
          <w:b/>
        </w:rPr>
        <w:t>)</w:t>
      </w:r>
    </w:p>
    <w:p w14:paraId="66A12986" w14:textId="32E8E3BC" w:rsidR="00A021B1" w:rsidRPr="00A3394C" w:rsidRDefault="00A021B1" w:rsidP="001639C0">
      <w:pPr>
        <w:pStyle w:val="Norm2"/>
      </w:pPr>
      <w:r w:rsidRPr="00A3394C">
        <w:t>Growth coefficients, or growth rates, indicate "how many times" the series changed between time points:</w:t>
      </w:r>
    </w:p>
    <w:p w14:paraId="74117470" w14:textId="77777777" w:rsidR="001639C0" w:rsidRPr="00A3394C" w:rsidRDefault="001639C0" w:rsidP="001639C0">
      <w:pPr>
        <w:pStyle w:val="Norm2"/>
      </w:pPr>
    </w:p>
    <w:p w14:paraId="08F2E768" w14:textId="6BC0947E" w:rsidR="001639C0" w:rsidRPr="00A3394C" w:rsidRDefault="00000000" w:rsidP="001639C0">
      <w:pPr>
        <w:pStyle w:val="Zpat"/>
        <w:ind w:left="357" w:hanging="357"/>
        <w:jc w:val="center"/>
      </w:pP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lang w:eastAsia="en-US"/>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t-1</m:t>
                </m:r>
              </m:sub>
            </m:sSub>
          </m:den>
        </m:f>
        <m:r>
          <w:rPr>
            <w:rFonts w:ascii="Cambria Math" w:hAnsi="Cambria Math"/>
          </w:rPr>
          <m:t xml:space="preserve">,     t=2,3,…, n   </m:t>
        </m:r>
      </m:oMath>
      <w:r w:rsidR="001639C0" w:rsidRPr="00A3394C">
        <w:t xml:space="preserve">     (4)</w:t>
      </w:r>
    </w:p>
    <w:p w14:paraId="5E829533" w14:textId="77777777" w:rsidR="001639C0" w:rsidRPr="00A3394C" w:rsidRDefault="001639C0" w:rsidP="001639C0">
      <w:pPr>
        <w:pStyle w:val="Zpat"/>
        <w:ind w:firstLine="0"/>
        <w:jc w:val="left"/>
      </w:pPr>
    </w:p>
    <w:p w14:paraId="35C611EE" w14:textId="2562C35E" w:rsidR="001639C0" w:rsidRPr="00A3394C" w:rsidRDefault="00B57531" w:rsidP="00B50B22">
      <w:pPr>
        <w:pStyle w:val="Zpat"/>
        <w:numPr>
          <w:ilvl w:val="0"/>
          <w:numId w:val="6"/>
        </w:numPr>
        <w:tabs>
          <w:tab w:val="clear" w:pos="360"/>
          <w:tab w:val="clear" w:pos="4703"/>
          <w:tab w:val="clear" w:pos="9406"/>
          <w:tab w:val="num" w:pos="717"/>
        </w:tabs>
        <w:spacing w:line="288" w:lineRule="auto"/>
        <w:ind w:left="357" w:hanging="357"/>
        <w:rPr>
          <w:b/>
          <w:i/>
        </w:rPr>
      </w:pPr>
      <w:r w:rsidRPr="00A3394C">
        <w:rPr>
          <w:b/>
        </w:rPr>
        <w:t>A</w:t>
      </w:r>
      <w:r w:rsidR="00872600" w:rsidRPr="00A3394C">
        <w:rPr>
          <w:b/>
        </w:rPr>
        <w:t xml:space="preserve">verage </w:t>
      </w:r>
      <w:r w:rsidRPr="00A3394C">
        <w:rPr>
          <w:b/>
        </w:rPr>
        <w:t>G</w:t>
      </w:r>
      <w:r w:rsidR="00872600" w:rsidRPr="00A3394C">
        <w:rPr>
          <w:b/>
        </w:rPr>
        <w:t xml:space="preserve">rowth </w:t>
      </w:r>
      <w:r w:rsidRPr="00A3394C">
        <w:rPr>
          <w:b/>
        </w:rPr>
        <w:t>C</w:t>
      </w:r>
      <w:r w:rsidR="00872600" w:rsidRPr="00A3394C">
        <w:rPr>
          <w:b/>
        </w:rPr>
        <w:t>oefficient</w:t>
      </w:r>
      <w:r w:rsidRPr="00A3394C">
        <w:rPr>
          <w:b/>
        </w:rPr>
        <w:t xml:space="preserve"> (</w:t>
      </w:r>
      <m:oMath>
        <m:acc>
          <m:accPr>
            <m:chr m:val="̅"/>
            <m:ctrlPr>
              <w:rPr>
                <w:rFonts w:ascii="Cambria Math" w:hAnsi="Cambria Math"/>
                <w:b/>
                <w:i/>
              </w:rPr>
            </m:ctrlPr>
          </m:accPr>
          <m:e>
            <m:r>
              <m:rPr>
                <m:sty m:val="bi"/>
              </m:rPr>
              <w:rPr>
                <w:rFonts w:ascii="Cambria Math" w:hAnsi="Cambria Math"/>
              </w:rPr>
              <m:t>k</m:t>
            </m:r>
          </m:e>
        </m:acc>
      </m:oMath>
      <w:r w:rsidRPr="00A3394C">
        <w:rPr>
          <w:b/>
        </w:rPr>
        <w:t>)</w:t>
      </w:r>
    </w:p>
    <w:p w14:paraId="5007B82A" w14:textId="3B73FD1F" w:rsidR="001639C0" w:rsidRPr="00A3394C" w:rsidRDefault="00C85C65" w:rsidP="003E130D">
      <w:pPr>
        <w:pStyle w:val="Norm2"/>
      </w:pPr>
      <w:r>
        <w:t xml:space="preserve">It </w:t>
      </w:r>
      <w:r w:rsidR="000A22C7">
        <w:t>indicates</w:t>
      </w:r>
      <w:r w:rsidR="00BF0F90" w:rsidRPr="00A3394C">
        <w:t xml:space="preserve"> the average factor by which the series changed between measurements</w:t>
      </w:r>
      <w:r w:rsidR="00E32A74" w:rsidRPr="00A3394C">
        <w:t xml:space="preserve"> during</w:t>
      </w:r>
      <w:r w:rsidR="002E7760">
        <w:t xml:space="preserve"> observed</w:t>
      </w:r>
      <w:r w:rsidR="00E32A74" w:rsidRPr="00A3394C">
        <w:t xml:space="preserve"> period.</w:t>
      </w:r>
    </w:p>
    <w:p w14:paraId="32C79553" w14:textId="2FCD6513" w:rsidR="001639C0" w:rsidRPr="00A3394C" w:rsidRDefault="001639C0" w:rsidP="001639C0">
      <w:pPr>
        <w:pStyle w:val="Norm2"/>
      </w:pPr>
    </w:p>
    <w:p w14:paraId="65638123" w14:textId="4C028934" w:rsidR="0058505C" w:rsidRPr="00A3394C" w:rsidRDefault="0058505C" w:rsidP="001639C0">
      <w:pPr>
        <w:pStyle w:val="Norm2"/>
      </w:pPr>
      <w:r w:rsidRPr="00A3394C">
        <w:t>In this case, the overall growth coefficient (“how many times” the time series changed between times</w:t>
      </w:r>
      <w:r w:rsidR="00DA796D" w:rsidRPr="00A3394C">
        <w:t xml:space="preserve">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1</m:t>
            </m:r>
          </m:sub>
        </m:sSub>
      </m:oMath>
      <w:r w:rsidR="00DA796D" w:rsidRPr="00A3394C">
        <w:rPr>
          <w:kern w:val="2"/>
          <w:lang w:eastAsia="en-US"/>
          <w14:ligatures w14:val="standardContextual"/>
        </w:rPr>
        <w:t xml:space="preserve"> a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n</m:t>
            </m:r>
          </m:sub>
        </m:sSub>
      </m:oMath>
      <w:r w:rsidRPr="00A3394C">
        <w:t>) is calculated not as the sum but as the product of the individual growth coefficients:</w:t>
      </w:r>
    </w:p>
    <w:p w14:paraId="2DB8660C" w14:textId="77777777" w:rsidR="001639C0" w:rsidRPr="00A3394C" w:rsidRDefault="001639C0" w:rsidP="001639C0">
      <w:pPr>
        <w:pStyle w:val="Norm2"/>
      </w:pPr>
    </w:p>
    <w:p w14:paraId="162FAC7C" w14:textId="77777777" w:rsidR="001639C0" w:rsidRPr="00A3394C" w:rsidRDefault="00000000" w:rsidP="001639C0">
      <w:pPr>
        <w:pStyle w:val="Norm2"/>
        <w:jc w:val="center"/>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f>
          <m:fPr>
            <m:ctrlPr>
              <w:rPr>
                <w:rFonts w:ascii="Cambria Math" w:hAnsi="Cambria Math"/>
                <w:i/>
                <w:lang w:eastAsia="en-US"/>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m:t>
        </m:r>
        <m:f>
          <m:fPr>
            <m:ctrlPr>
              <w:rPr>
                <w:rFonts w:ascii="Cambria Math" w:hAnsi="Cambria Math"/>
                <w:i/>
                <w:lang w:eastAsia="en-US"/>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rPr>
          <m:t>∙…∙</m:t>
        </m:r>
        <m:f>
          <m:fPr>
            <m:ctrlPr>
              <w:rPr>
                <w:rFonts w:ascii="Cambria Math" w:hAnsi="Cambria Math"/>
                <w:i/>
                <w:lang w:eastAsia="en-US"/>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n-1</m:t>
                </m:r>
              </m:sub>
            </m:sSub>
          </m:den>
        </m:f>
        <m:r>
          <w:rPr>
            <w:rFonts w:ascii="Cambria Math" w:hAnsi="Cambria Math"/>
          </w:rPr>
          <m:t>=</m:t>
        </m:r>
        <m:f>
          <m:fPr>
            <m:ctrlPr>
              <w:rPr>
                <w:rFonts w:ascii="Cambria Math" w:hAnsi="Cambria Math"/>
                <w:i/>
                <w:lang w:eastAsia="en-US"/>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m:t>
        </m:r>
      </m:oMath>
      <w:r w:rsidR="001639C0" w:rsidRPr="00A3394C">
        <w:t xml:space="preserve"> </w:t>
      </w:r>
    </w:p>
    <w:p w14:paraId="3DF8C785" w14:textId="77777777" w:rsidR="001639C0" w:rsidRPr="00A3394C" w:rsidRDefault="001639C0" w:rsidP="001639C0">
      <w:pPr>
        <w:pStyle w:val="Norm2"/>
      </w:pPr>
    </w:p>
    <w:p w14:paraId="12C0E1B4" w14:textId="76FBFEB2" w:rsidR="00FC3F0B" w:rsidRDefault="00FC3F0B" w:rsidP="00893B01">
      <w:pPr>
        <w:pStyle w:val="Norm2"/>
      </w:pPr>
      <w:r w:rsidRPr="00A3394C">
        <w:t xml:space="preserve">Therefore, the average growth coefficient is determined as the </w:t>
      </w:r>
      <w:r w:rsidRPr="00A3394C">
        <w:rPr>
          <w:b/>
          <w:bCs/>
        </w:rPr>
        <w:t>geometric mean</w:t>
      </w:r>
      <w:r w:rsidRPr="00A3394C">
        <w:t xml:space="preserve"> of the individual growth coefficients:</w:t>
      </w:r>
    </w:p>
    <w:p w14:paraId="438C73CE" w14:textId="77777777" w:rsidR="00CD30EC" w:rsidRPr="00A3394C" w:rsidRDefault="00CD30EC" w:rsidP="00893B01">
      <w:pPr>
        <w:pStyle w:val="Norm2"/>
      </w:pPr>
    </w:p>
    <w:p w14:paraId="5DFA946F" w14:textId="50B53EC2" w:rsidR="001639C0" w:rsidRPr="00A3394C" w:rsidRDefault="00000000" w:rsidP="008E0A00">
      <w:pPr>
        <w:pStyle w:val="Zpat"/>
        <w:ind w:left="357" w:hanging="357"/>
        <w:jc w:val="center"/>
      </w:pPr>
      <m:oMath>
        <m:acc>
          <m:accPr>
            <m:chr m:val="̅"/>
            <m:ctrlPr>
              <w:rPr>
                <w:rFonts w:ascii="Cambria Math" w:hAnsi="Cambria Math"/>
                <w:i/>
              </w:rPr>
            </m:ctrlPr>
          </m:accPr>
          <m:e>
            <m:r>
              <w:rPr>
                <w:rFonts w:ascii="Cambria Math" w:hAnsi="Cambria Math"/>
              </w:rPr>
              <m:t>k</m:t>
            </m:r>
          </m:e>
        </m:acc>
        <m:r>
          <w:rPr>
            <w:rFonts w:ascii="Cambria Math" w:hAnsi="Cambria Math"/>
          </w:rPr>
          <m:t>=</m:t>
        </m:r>
        <m:rad>
          <m:radPr>
            <m:ctrlPr>
              <w:rPr>
                <w:rFonts w:ascii="Cambria Math" w:hAnsi="Cambria Math"/>
                <w:i/>
                <w:lang w:eastAsia="en-US"/>
              </w:rPr>
            </m:ctrlPr>
          </m:radPr>
          <m:deg>
            <m:r>
              <w:rPr>
                <w:rFonts w:ascii="Cambria Math" w:hAnsi="Cambria Math"/>
              </w:rPr>
              <m:t>n-1</m:t>
            </m:r>
          </m:deg>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rad>
        <m:r>
          <w:rPr>
            <w:rFonts w:ascii="Cambria Math" w:hAnsi="Cambria Math"/>
          </w:rPr>
          <m:t>=</m:t>
        </m:r>
        <m:rad>
          <m:radPr>
            <m:ctrlPr>
              <w:rPr>
                <w:rFonts w:ascii="Cambria Math" w:hAnsi="Cambria Math"/>
                <w:i/>
                <w:lang w:eastAsia="en-US"/>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rad>
      </m:oMath>
      <w:r w:rsidR="001639C0" w:rsidRPr="00A3394C">
        <w:t>.         (5)</w:t>
      </w:r>
    </w:p>
    <w:p w14:paraId="74D24F4A" w14:textId="1F04FAE2" w:rsidR="00B93CC2" w:rsidRDefault="009E04A3" w:rsidP="00B93CC2">
      <w:pPr>
        <w:pStyle w:val="Zpat"/>
        <w:ind w:left="357" w:hanging="357"/>
      </w:pPr>
      <w:r w:rsidRPr="00A3394C">
        <w:t xml:space="preserve">  </w:t>
      </w:r>
      <w:r w:rsidR="00BE21ED" w:rsidRPr="00A3394C">
        <w:br/>
      </w:r>
      <w:r w:rsidR="00F4771E" w:rsidRPr="00F4771E">
        <w:t>As with the average absolute change, only the initial value</w:t>
      </w:r>
      <w:r w:rsidR="00B93CC2">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F4771E" w:rsidRPr="00F4771E">
        <w:t xml:space="preserve">, final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F4771E" w:rsidRPr="00F4771E">
        <w:t>, and the number of values</w:t>
      </w:r>
      <w:r w:rsidR="00A922ED">
        <w:t xml:space="preserve"> </w:t>
      </w:r>
      <m:oMath>
        <m:r>
          <w:rPr>
            <w:rFonts w:ascii="Cambria Math" w:hAnsi="Cambria Math"/>
          </w:rPr>
          <m:t>n</m:t>
        </m:r>
      </m:oMath>
      <w:r w:rsidR="00F4771E" w:rsidRPr="00F4771E">
        <w:t xml:space="preserve">  are needed for this calculation.</w:t>
      </w:r>
    </w:p>
    <w:p w14:paraId="2C420887" w14:textId="57B5413C" w:rsidR="009E04A3" w:rsidRPr="00A3394C" w:rsidRDefault="0008206B" w:rsidP="00CD30EC">
      <w:pPr>
        <w:pStyle w:val="Zpat"/>
      </w:pPr>
      <w:r w:rsidRPr="00A3394C">
        <w:t xml:space="preserve">     </w:t>
      </w:r>
    </w:p>
    <w:p w14:paraId="0E2FCF06" w14:textId="49AF2ECF" w:rsidR="001639C0" w:rsidRPr="00A3394C" w:rsidRDefault="00BC081D" w:rsidP="009401B5">
      <w:pPr>
        <w:pStyle w:val="Zpat"/>
        <w:numPr>
          <w:ilvl w:val="0"/>
          <w:numId w:val="4"/>
        </w:numPr>
        <w:tabs>
          <w:tab w:val="clear" w:pos="360"/>
          <w:tab w:val="clear" w:pos="4703"/>
          <w:tab w:val="clear" w:pos="9406"/>
          <w:tab w:val="num" w:pos="717"/>
        </w:tabs>
        <w:spacing w:line="288" w:lineRule="auto"/>
        <w:ind w:left="357" w:hanging="357"/>
        <w:jc w:val="left"/>
        <w:rPr>
          <w:b/>
          <w:i/>
        </w:rPr>
      </w:pPr>
      <w:r w:rsidRPr="00A3394C">
        <w:rPr>
          <w:b/>
        </w:rPr>
        <w:t>Relative Change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Pr="00A3394C">
        <w:rPr>
          <w:b/>
        </w:rPr>
        <w:t>)</w:t>
      </w:r>
      <w:r w:rsidR="00A30C3A" w:rsidRPr="00A3394C">
        <w:br/>
        <w:t>If we want to know 'by what percentage' the time series changed between individual time points, we use relative changes, which can easily be determined using growth coefficients:</w:t>
      </w:r>
    </w:p>
    <w:p w14:paraId="5B25C71C" w14:textId="77777777" w:rsidR="001639C0" w:rsidRPr="00A3394C" w:rsidRDefault="001639C0" w:rsidP="001639C0">
      <w:pPr>
        <w:pStyle w:val="Norm2"/>
      </w:pPr>
    </w:p>
    <w:p w14:paraId="49C9B8C8" w14:textId="186F279E" w:rsidR="00775486" w:rsidRPr="00A3394C" w:rsidRDefault="00000000" w:rsidP="00B02CC9">
      <w:pPr>
        <w:pStyle w:val="Zpat"/>
        <w:ind w:left="357" w:hanging="357"/>
        <w:jc w:val="center"/>
        <w:rPr>
          <w:sz w:val="22"/>
          <w:szCs w:val="22"/>
        </w:rPr>
      </w:pPr>
      <m:oMath>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den>
        </m:f>
        <m:r>
          <w:rPr>
            <w:rFonts w:ascii="Cambria Math" w:hAnsi="Cambria Math"/>
            <w:sz w:val="22"/>
            <w:szCs w:val="22"/>
          </w:rPr>
          <m:t>∙100=</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num>
          <m:den>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den>
        </m:f>
        <m:r>
          <w:rPr>
            <w:rFonts w:ascii="Cambria Math" w:hAnsi="Cambria Math"/>
            <w:sz w:val="22"/>
            <w:szCs w:val="22"/>
          </w:rPr>
          <m:t>∙100=</m:t>
        </m:r>
        <m:d>
          <m:dPr>
            <m:ctrlPr>
              <w:rPr>
                <w:rFonts w:ascii="Cambria Math" w:hAnsi="Cambria Math"/>
                <w:i/>
                <w:sz w:val="22"/>
                <w:szCs w:val="22"/>
                <w:lang w:eastAsia="en-US"/>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den>
            </m:f>
            <m:r>
              <w:rPr>
                <w:rFonts w:ascii="Cambria Math" w:hAnsi="Cambria Math"/>
                <w:sz w:val="22"/>
                <w:szCs w:val="22"/>
              </w:rPr>
              <m:t>-1</m:t>
            </m:r>
          </m:e>
        </m:d>
        <m:r>
          <w:rPr>
            <w:rFonts w:ascii="Cambria Math" w:hAnsi="Cambria Math"/>
            <w:sz w:val="22"/>
            <w:szCs w:val="22"/>
          </w:rPr>
          <m:t>∙100=</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r>
              <w:rPr>
                <w:rFonts w:ascii="Cambria Math" w:hAnsi="Cambria Math"/>
                <w:sz w:val="22"/>
                <w:szCs w:val="22"/>
              </w:rPr>
              <m:t>-1</m:t>
            </m:r>
          </m:e>
        </m:d>
        <m:r>
          <w:rPr>
            <w:rFonts w:ascii="Cambria Math" w:hAnsi="Cambria Math"/>
            <w:sz w:val="22"/>
            <w:szCs w:val="22"/>
          </w:rPr>
          <m:t>∙100,           t=2,3, …, n</m:t>
        </m:r>
      </m:oMath>
      <w:r w:rsidR="001639C0" w:rsidRPr="00A3394C">
        <w:rPr>
          <w:sz w:val="22"/>
          <w:szCs w:val="22"/>
        </w:rPr>
        <w:t xml:space="preserve">   (6)</w:t>
      </w:r>
    </w:p>
    <w:p w14:paraId="624FCE76" w14:textId="67C3D85D" w:rsidR="00775486" w:rsidRDefault="00775486" w:rsidP="00775486">
      <w:pPr>
        <w:pStyle w:val="Zpat"/>
        <w:ind w:left="357" w:hanging="357"/>
      </w:pPr>
    </w:p>
    <w:p w14:paraId="74DD956B" w14:textId="77777777" w:rsidR="00945F9E" w:rsidRDefault="00945F9E" w:rsidP="00945F9E">
      <w:pPr>
        <w:pStyle w:val="Zpat"/>
      </w:pPr>
      <w:r w:rsidRPr="00945F9E">
        <w:t xml:space="preserve">For example, if the price of a product increases by a factor of 1.5, the percentage increase </w:t>
      </w:r>
    </w:p>
    <w:p w14:paraId="29CA9DDE" w14:textId="53E2FB15" w:rsidR="00945F9E" w:rsidRDefault="009A40A0" w:rsidP="009A40A0">
      <w:pPr>
        <w:pStyle w:val="Zpat"/>
        <w:ind w:left="357" w:hanging="357"/>
      </w:pPr>
      <w:r>
        <w:t xml:space="preserve">      </w:t>
      </w:r>
      <w:r w:rsidR="00945F9E" w:rsidRPr="00945F9E">
        <w:t>is 50%</w:t>
      </w:r>
      <w:r w:rsidR="00945F9E" w:rsidRPr="00A3394C">
        <w:t xml:space="preserve"> (=(1.5-1)∙100).</w:t>
      </w:r>
    </w:p>
    <w:p w14:paraId="6797A8DE" w14:textId="5D172730" w:rsidR="001639C0" w:rsidRPr="00A3394C" w:rsidRDefault="001639C0" w:rsidP="00945F9E">
      <w:pPr>
        <w:pStyle w:val="Zpat"/>
      </w:pPr>
    </w:p>
    <w:p w14:paraId="388AC358" w14:textId="49CCFA16" w:rsidR="003F6720" w:rsidRPr="00A3394C" w:rsidRDefault="003F6720" w:rsidP="003F6720">
      <w:pPr>
        <w:pStyle w:val="ODR0"/>
        <w:rPr>
          <w:b/>
        </w:rPr>
      </w:pPr>
      <w:r w:rsidRPr="00A3394C">
        <w:rPr>
          <w:b/>
          <w:bCs/>
        </w:rPr>
        <w:t xml:space="preserve">Average Relative Change </w:t>
      </w:r>
      <w:r w:rsidRPr="00A3394C">
        <w:rPr>
          <w:b/>
        </w:rPr>
        <w:t>(</w:t>
      </w:r>
      <m:oMath>
        <m:acc>
          <m:accPr>
            <m:chr m:val="̅"/>
            <m:ctrlPr>
              <w:rPr>
                <w:rFonts w:ascii="Cambria Math" w:hAnsi="Cambria Math"/>
                <w:b/>
                <w:bCs/>
                <w:i/>
              </w:rPr>
            </m:ctrlPr>
          </m:accPr>
          <m:e>
            <m:r>
              <m:rPr>
                <m:sty m:val="bi"/>
              </m:rPr>
              <w:rPr>
                <w:rFonts w:ascii="Cambria Math" w:hAnsi="Cambria Math"/>
              </w:rPr>
              <m:t>δ</m:t>
            </m:r>
          </m:e>
        </m:acc>
      </m:oMath>
      <w:r w:rsidRPr="00A3394C">
        <w:rPr>
          <w:b/>
        </w:rPr>
        <w:t>)</w:t>
      </w:r>
    </w:p>
    <w:p w14:paraId="1C155335" w14:textId="018E5EEF" w:rsidR="00762CC8" w:rsidRDefault="002E7760" w:rsidP="00B9752B">
      <w:pPr>
        <w:pStyle w:val="ODR0"/>
        <w:numPr>
          <w:ilvl w:val="0"/>
          <w:numId w:val="0"/>
        </w:numPr>
        <w:ind w:left="357"/>
      </w:pPr>
      <w:r>
        <w:t xml:space="preserve">It </w:t>
      </w:r>
      <w:r w:rsidR="00762CC8" w:rsidRPr="00A3394C">
        <w:t xml:space="preserve">indicates 'by what percentage' the time series changed on average during the period between two measurements within the observed </w:t>
      </w:r>
      <w:r w:rsidR="003D6525" w:rsidRPr="00A3394C">
        <w:t>time period</w:t>
      </w:r>
      <w:r w:rsidR="00762CC8" w:rsidRPr="00A3394C">
        <w:t xml:space="preserve"> can then be easily calculated using the average growth coefficient:</w:t>
      </w:r>
    </w:p>
    <w:p w14:paraId="5CEF6706" w14:textId="77777777" w:rsidR="00CD30EC" w:rsidRPr="00A3394C" w:rsidRDefault="00CD30EC" w:rsidP="00B9752B">
      <w:pPr>
        <w:pStyle w:val="ODR0"/>
        <w:numPr>
          <w:ilvl w:val="0"/>
          <w:numId w:val="0"/>
        </w:numPr>
        <w:ind w:left="357"/>
      </w:pPr>
    </w:p>
    <w:p w14:paraId="6814F938" w14:textId="4D075611" w:rsidR="001639C0" w:rsidRPr="00A3394C" w:rsidRDefault="00000000" w:rsidP="001639C0">
      <w:pPr>
        <w:pStyle w:val="ODR0"/>
        <w:numPr>
          <w:ilvl w:val="0"/>
          <w:numId w:val="0"/>
        </w:numPr>
        <w:ind w:left="357"/>
        <w:jc w:val="center"/>
      </w:pPr>
      <m:oMath>
        <m:acc>
          <m:accPr>
            <m:chr m:val="̅"/>
            <m:ctrlPr>
              <w:rPr>
                <w:rFonts w:ascii="Cambria Math" w:hAnsi="Cambria Math"/>
                <w:i/>
              </w:rPr>
            </m:ctrlPr>
          </m:accPr>
          <m:e>
            <m:r>
              <w:rPr>
                <w:rFonts w:ascii="Cambria Math" w:hAnsi="Cambria Math"/>
              </w:rPr>
              <m:t>δ</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k</m:t>
                </m:r>
              </m:e>
            </m:acc>
            <m:r>
              <w:rPr>
                <w:rFonts w:ascii="Cambria Math" w:hAnsi="Cambria Math"/>
              </w:rPr>
              <m:t>-1</m:t>
            </m:r>
          </m:e>
        </m:d>
        <m:r>
          <w:rPr>
            <w:rFonts w:ascii="Cambria Math" w:hAnsi="Cambria Math"/>
          </w:rPr>
          <m:t>∙100</m:t>
        </m:r>
      </m:oMath>
      <w:r w:rsidR="001639C0" w:rsidRPr="00A3394C">
        <w:rPr>
          <w:i/>
        </w:rPr>
        <w:t>.</w:t>
      </w:r>
      <w:r w:rsidR="001639C0" w:rsidRPr="00A3394C">
        <w:t xml:space="preserve">     (7)</w:t>
      </w:r>
    </w:p>
    <w:p w14:paraId="7A4AB5B4" w14:textId="77777777" w:rsidR="00B56274" w:rsidRPr="00A3394C" w:rsidRDefault="00B56274" w:rsidP="00425686">
      <w:pPr>
        <w:ind w:left="357"/>
        <w:jc w:val="both"/>
        <w:rPr>
          <w:b/>
          <w:bCs/>
        </w:rPr>
      </w:pPr>
    </w:p>
    <w:p w14:paraId="212D2EB0" w14:textId="38784DBA" w:rsidR="00425686" w:rsidRPr="00A3394C" w:rsidRDefault="00425686" w:rsidP="00425686">
      <w:pPr>
        <w:ind w:left="357"/>
        <w:jc w:val="both"/>
        <w:rPr>
          <w:rFonts w:eastAsiaTheme="minorEastAsia"/>
        </w:rPr>
      </w:pPr>
      <w:r w:rsidRPr="00A3394C">
        <w:rPr>
          <w:rFonts w:eastAsiaTheme="minorEastAsia"/>
          <w:b/>
          <w:bCs/>
        </w:rPr>
        <w:t>Note:</w:t>
      </w:r>
      <w:r w:rsidRPr="00A3394C">
        <w:rPr>
          <w:rFonts w:eastAsiaTheme="minorEastAsia"/>
        </w:rPr>
        <w:t xml:space="preserve"> </w:t>
      </w:r>
      <w:r w:rsidRPr="00DE155E">
        <w:rPr>
          <w:rFonts w:eastAsiaTheme="minorEastAsia"/>
        </w:rPr>
        <w:t xml:space="preserve">The sum (or product) of individual relative changes is not equal to the total relative change ("by what percentage" the time series changed between times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1</m:t>
            </m:r>
          </m:sub>
        </m:sSub>
      </m:oMath>
      <w:r w:rsidRPr="00A3394C">
        <w:rPr>
          <w:kern w:val="2"/>
          <w:lang w:eastAsia="en-US"/>
          <w14:ligatures w14:val="standardContextual"/>
        </w:rPr>
        <w:t xml:space="preserve"> and </w:t>
      </w:r>
      <m:oMath>
        <m:sSub>
          <m:sSubPr>
            <m:ctrlPr>
              <w:rPr>
                <w:rFonts w:ascii="Cambria Math" w:eastAsiaTheme="minorHAnsi" w:hAnsi="Cambria Math"/>
                <w:i/>
                <w:kern w:val="2"/>
                <w:lang w:eastAsia="en-US"/>
                <w14:ligatures w14:val="standardContextual"/>
              </w:rPr>
            </m:ctrlPr>
          </m:sSubPr>
          <m:e>
            <m:r>
              <w:rPr>
                <w:rFonts w:ascii="Cambria Math" w:hAnsi="Cambria Math"/>
              </w:rPr>
              <m:t>t</m:t>
            </m:r>
          </m:e>
          <m:sub>
            <m:r>
              <w:rPr>
                <w:rFonts w:ascii="Cambria Math" w:hAnsi="Cambria Math"/>
              </w:rPr>
              <m:t>n</m:t>
            </m:r>
          </m:sub>
        </m:sSub>
      </m:oMath>
      <w:r w:rsidRPr="00DE155E">
        <w:rPr>
          <w:rFonts w:eastAsiaTheme="minorEastAsia"/>
        </w:rPr>
        <w:t>). Therefore, the arithmetic or geometric mean of individual relative changes cannot be used to calculate the average relative change.</w:t>
      </w:r>
    </w:p>
    <w:p w14:paraId="1DA359A8" w14:textId="77777777" w:rsidR="00B56274" w:rsidRPr="00DE155E" w:rsidRDefault="00B56274" w:rsidP="00425686">
      <w:pPr>
        <w:ind w:left="357"/>
        <w:jc w:val="both"/>
        <w:rPr>
          <w:rFonts w:eastAsiaTheme="minorEastAsia"/>
        </w:rPr>
      </w:pPr>
    </w:p>
    <w:p w14:paraId="5D64D5DA" w14:textId="77777777" w:rsidR="00425686" w:rsidRPr="00A3394C" w:rsidRDefault="00425686" w:rsidP="00425686">
      <w:pPr>
        <w:ind w:left="357"/>
        <w:jc w:val="both"/>
        <w:rPr>
          <w:rFonts w:eastAsiaTheme="minorEastAsia"/>
        </w:rPr>
      </w:pPr>
      <w:r w:rsidRPr="00DE155E">
        <w:rPr>
          <w:rFonts w:eastAsiaTheme="minorEastAsia"/>
        </w:rPr>
        <w:t>Now, let us attempt a basic description of the time series representing GDP trends (in euros per person), as shown in Figure 2.</w:t>
      </w:r>
    </w:p>
    <w:p w14:paraId="28E3B3FE" w14:textId="2B51B742" w:rsidR="00425686" w:rsidRPr="00A3394C" w:rsidRDefault="00425686" w:rsidP="000D0686">
      <w:pPr>
        <w:ind w:left="357"/>
        <w:jc w:val="both"/>
      </w:pPr>
      <w:r w:rsidRPr="00A3394C">
        <w:rPr>
          <w:noProof/>
        </w:rPr>
        <mc:AlternateContent>
          <mc:Choice Requires="wps">
            <w:drawing>
              <wp:anchor distT="0" distB="0" distL="114300" distR="114300" simplePos="0" relativeHeight="251663360" behindDoc="0" locked="0" layoutInCell="1" allowOverlap="1" wp14:anchorId="1C249864" wp14:editId="42F6F01F">
                <wp:simplePos x="0" y="0"/>
                <wp:positionH relativeFrom="margin">
                  <wp:posOffset>0</wp:posOffset>
                </wp:positionH>
                <wp:positionV relativeFrom="paragraph">
                  <wp:posOffset>171450</wp:posOffset>
                </wp:positionV>
                <wp:extent cx="1828800" cy="1828800"/>
                <wp:effectExtent l="0" t="0" r="23495" b="27940"/>
                <wp:wrapSquare wrapText="bothSides"/>
                <wp:docPr id="130808922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10000"/>
                            <a:lumOff val="90000"/>
                          </a:schemeClr>
                        </a:solidFill>
                        <a:ln w="6350">
                          <a:solidFill>
                            <a:prstClr val="black"/>
                          </a:solidFill>
                        </a:ln>
                      </wps:spPr>
                      <wps:txbx>
                        <w:txbxContent>
                          <w:p w14:paraId="2276AC00" w14:textId="77777777" w:rsidR="00425686" w:rsidRDefault="00425686" w:rsidP="00425686">
                            <w:pPr>
                              <w:ind w:left="357"/>
                              <w:jc w:val="both"/>
                              <w:rPr>
                                <w:b/>
                                <w:bCs/>
                              </w:rPr>
                            </w:pPr>
                            <w:r w:rsidRPr="00AA7FED">
                              <w:rPr>
                                <w:b/>
                                <w:bCs/>
                              </w:rPr>
                              <w:t>Task</w:t>
                            </w:r>
                            <w:r>
                              <w:rPr>
                                <w:b/>
                                <w:bCs/>
                              </w:rPr>
                              <w:t xml:space="preserve"> 1</w:t>
                            </w:r>
                          </w:p>
                          <w:p w14:paraId="3DB13D30" w14:textId="77777777" w:rsidR="00425686" w:rsidRPr="00BE1EEF" w:rsidRDefault="00425686" w:rsidP="00425686">
                            <w:pPr>
                              <w:ind w:left="357"/>
                              <w:jc w:val="both"/>
                              <w:rPr>
                                <w:b/>
                                <w:bCs/>
                              </w:rPr>
                            </w:pPr>
                            <w:r>
                              <w:t>De</w:t>
                            </w:r>
                            <w:r w:rsidRPr="00AA7FED">
                              <w:t>termine the average annual GDP (in euros per person) of the European Union for the years 2020 to 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C249864" id="_x0000_t202" coordsize="21600,21600" o:spt="202" path="m,l,21600r21600,l21600,xe">
                <v:stroke joinstyle="miter"/>
                <v:path gradientshapeok="t" o:connecttype="rect"/>
              </v:shapetype>
              <v:shape id="Text Box 1" o:spid="_x0000_s1026" type="#_x0000_t202" style="position:absolute;left:0;text-align:left;margin-left:0;margin-top:13.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" fillcolor="#dceaf7 [351]" strokeweight=".5pt">
                <v:textbox style="mso-fit-shape-to-text:t">
                  <w:txbxContent>
                    <w:p w14:paraId="2276AC00" w14:textId="77777777" w:rsidR="00425686" w:rsidRDefault="00425686" w:rsidP="00425686">
                      <w:pPr>
                        <w:ind w:left="357"/>
                        <w:jc w:val="both"/>
                        <w:rPr>
                          <w:b/>
                          <w:bCs/>
                        </w:rPr>
                      </w:pPr>
                      <w:r w:rsidRPr="00AA7FED">
                        <w:rPr>
                          <w:b/>
                          <w:bCs/>
                        </w:rPr>
                        <w:t>Task</w:t>
                      </w:r>
                      <w:r>
                        <w:rPr>
                          <w:b/>
                          <w:bCs/>
                        </w:rPr>
                        <w:t xml:space="preserve"> 1</w:t>
                      </w:r>
                    </w:p>
                    <w:p w14:paraId="3DB13D30" w14:textId="77777777" w:rsidR="00425686" w:rsidRPr="00BE1EEF" w:rsidRDefault="00425686" w:rsidP="00425686">
                      <w:pPr>
                        <w:ind w:left="357"/>
                        <w:jc w:val="both"/>
                        <w:rPr>
                          <w:b/>
                          <w:bCs/>
                        </w:rPr>
                      </w:pPr>
                      <w:r>
                        <w:t>De</w:t>
                      </w:r>
                      <w:r w:rsidRPr="00AA7FED">
                        <w:t>termine the average annual GDP (in euros per person) of the European Union for the years 2020 to 2023.</w:t>
                      </w:r>
                    </w:p>
                  </w:txbxContent>
                </v:textbox>
                <w10:wrap type="square" anchorx="margin"/>
              </v:shape>
            </w:pict>
          </mc:Fallback>
        </mc:AlternateContent>
      </w:r>
    </w:p>
    <w:p w14:paraId="427CD863" w14:textId="77777777" w:rsidR="00425686" w:rsidRPr="00A3394C" w:rsidRDefault="00425686" w:rsidP="00425686">
      <w:pPr>
        <w:ind w:left="357"/>
        <w:jc w:val="both"/>
        <w:rPr>
          <w:kern w:val="2"/>
          <w:lang w:eastAsia="en-US"/>
          <w14:ligatures w14:val="standardContextual"/>
        </w:rPr>
      </w:pPr>
      <w:r w:rsidRPr="00801C5E">
        <w:rPr>
          <w:kern w:val="2"/>
          <w:lang w:eastAsia="en-US"/>
          <w14:ligatures w14:val="standardContextual"/>
        </w:rPr>
        <w:t>As stated in equation (1), the average annual GDP is calculated as the simple arithmetic mean of the analyzed time series:</w:t>
      </w:r>
    </w:p>
    <w:p w14:paraId="4A8621E2" w14:textId="77777777" w:rsidR="00425686" w:rsidRPr="00A3394C" w:rsidRDefault="00425686" w:rsidP="00425686">
      <w:pPr>
        <w:ind w:left="357"/>
        <w:jc w:val="both"/>
        <w:rPr>
          <w:kern w:val="2"/>
          <w:lang w:eastAsia="en-US"/>
          <w14:ligatures w14:val="standardContextual"/>
        </w:rPr>
      </w:pPr>
    </w:p>
    <w:p w14:paraId="16CEC5BA" w14:textId="77777777" w:rsidR="00425686" w:rsidRPr="00A3394C" w:rsidRDefault="00000000" w:rsidP="00425686">
      <w:pPr>
        <w:ind w:left="357"/>
        <w:jc w:val="center"/>
        <w:rPr>
          <w:kern w:val="2"/>
          <w:lang w:eastAsia="en-US"/>
          <w14:ligatures w14:val="standardContextual"/>
        </w:rPr>
      </w:pPr>
      <m:oMath>
        <m:acc>
          <m:accPr>
            <m:chr m:val="̅"/>
            <m:ctrlPr>
              <w:rPr>
                <w:rFonts w:ascii="Cambria Math" w:eastAsiaTheme="minorHAnsi" w:hAnsi="Cambria Math"/>
                <w:i/>
                <w:kern w:val="2"/>
                <w:lang w:eastAsia="en-US"/>
                <w14:ligatures w14:val="standardContextual"/>
              </w:rPr>
            </m:ctrlPr>
          </m:accPr>
          <m:e>
            <m:r>
              <w:rPr>
                <w:rFonts w:ascii="Cambria Math" w:hAnsi="Cambria Math"/>
              </w:rPr>
              <m:t>y</m:t>
            </m:r>
          </m:e>
        </m:acc>
        <m:r>
          <w:rPr>
            <w:rFonts w:ascii="Cambria Math" w:eastAsiaTheme="minorEastAsia" w:hAnsi="Cambria Math"/>
          </w:rPr>
          <m:t>=</m:t>
        </m:r>
        <m:f>
          <m:fPr>
            <m:ctrlPr>
              <w:rPr>
                <w:rFonts w:ascii="Cambria Math" w:eastAsiaTheme="minorEastAsia" w:hAnsi="Cambria Math"/>
                <w:i/>
                <w:kern w:val="2"/>
                <w:lang w:eastAsia="en-US"/>
                <w14:ligatures w14:val="standardContextual"/>
              </w:rPr>
            </m:ctrlPr>
          </m:fPr>
          <m:num>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eastAsiaTheme="minorHAnsi" w:hAnsi="Cambria Math"/>
                    <w:i/>
                    <w:kern w:val="2"/>
                    <w:lang w:eastAsia="en-US"/>
                    <w14:ligatures w14:val="standardContextual"/>
                  </w:rPr>
                </m:ctrlPr>
              </m:sSubPr>
              <m:e>
                <m:r>
                  <w:rPr>
                    <w:rFonts w:ascii="Cambria Math" w:hAnsi="Cambria Math"/>
                  </w:rPr>
                  <m:t>y</m:t>
                </m:r>
              </m:e>
              <m:sub>
                <m:r>
                  <w:rPr>
                    <w:rFonts w:ascii="Cambria Math" w:hAnsi="Cambria Math"/>
                  </w:rPr>
                  <m:t>4</m:t>
                </m:r>
              </m:sub>
            </m:sSub>
          </m:num>
          <m:den>
            <m:r>
              <w:rPr>
                <w:rFonts w:ascii="Cambria Math" w:eastAsiaTheme="minorEastAsia" w:hAnsi="Cambria Math"/>
              </w:rPr>
              <m:t>4</m:t>
            </m:r>
          </m:den>
        </m:f>
        <m:r>
          <w:rPr>
            <w:rFonts w:ascii="Cambria Math" w:eastAsiaTheme="minorEastAsia" w:hAnsi="Cambria Math"/>
            <w:kern w:val="2"/>
            <w:lang w:eastAsia="en-US"/>
            <w14:ligatures w14:val="standardContextual"/>
          </w:rPr>
          <m:t>=</m:t>
        </m:r>
        <m:f>
          <m:fPr>
            <m:ctrlPr>
              <w:rPr>
                <w:rFonts w:ascii="Cambria Math" w:eastAsiaTheme="minorEastAsia" w:hAnsi="Cambria Math"/>
                <w:i/>
                <w:kern w:val="2"/>
                <w:lang w:eastAsia="en-US"/>
                <w14:ligatures w14:val="standardContextual"/>
              </w:rPr>
            </m:ctrlPr>
          </m:fPr>
          <m:num>
            <m:r>
              <w:rPr>
                <w:rFonts w:ascii="Cambria Math" w:eastAsiaTheme="minorHAnsi" w:hAnsi="Cambria Math"/>
                <w:kern w:val="2"/>
                <w:lang w:eastAsia="en-US"/>
                <w14:ligatures w14:val="standardContextual"/>
              </w:rPr>
              <m:t>26 790</m:t>
            </m:r>
            <m:r>
              <w:rPr>
                <w:rFonts w:ascii="Cambria Math" w:hAnsi="Cambria Math"/>
              </w:rPr>
              <m:t xml:space="preserve">+ </m:t>
            </m:r>
            <m:r>
              <w:rPr>
                <w:rFonts w:ascii="Cambria Math" w:eastAsiaTheme="minorHAnsi" w:hAnsi="Cambria Math"/>
                <w:kern w:val="2"/>
                <w:lang w:eastAsia="en-US"/>
                <w14:ligatures w14:val="standardContextual"/>
              </w:rPr>
              <m:t>28 490</m:t>
            </m:r>
            <m:r>
              <w:rPr>
                <w:rFonts w:ascii="Cambria Math" w:hAnsi="Cambria Math"/>
              </w:rPr>
              <m:t>+ 29 300+</m:t>
            </m:r>
            <m:r>
              <w:rPr>
                <w:rFonts w:ascii="Cambria Math" w:eastAsiaTheme="minorHAnsi" w:hAnsi="Cambria Math"/>
                <w:kern w:val="2"/>
                <w:lang w:eastAsia="en-US"/>
                <w14:ligatures w14:val="standardContextual"/>
              </w:rPr>
              <m:t>29 280</m:t>
            </m:r>
          </m:num>
          <m:den>
            <m:r>
              <w:rPr>
                <w:rFonts w:ascii="Cambria Math" w:eastAsiaTheme="minorEastAsia" w:hAnsi="Cambria Math"/>
              </w:rPr>
              <m:t>4</m:t>
            </m:r>
          </m:den>
        </m:f>
        <m:r>
          <w:rPr>
            <w:rFonts w:ascii="Cambria Math" w:eastAsiaTheme="minorEastAsia" w:hAnsi="Cambria Math"/>
            <w:kern w:val="2"/>
            <w:lang w:eastAsia="en-US"/>
            <w14:ligatures w14:val="standardContextual"/>
          </w:rPr>
          <m:t>≈28 465</m:t>
        </m:r>
      </m:oMath>
      <w:r w:rsidR="00425686" w:rsidRPr="00A3394C">
        <w:rPr>
          <w:kern w:val="2"/>
          <w:lang w:eastAsia="en-US"/>
          <w14:ligatures w14:val="standardContextual"/>
        </w:rPr>
        <w:t>.</w:t>
      </w:r>
    </w:p>
    <w:p w14:paraId="15843642" w14:textId="77777777" w:rsidR="00425686" w:rsidRPr="00801C5E" w:rsidRDefault="00425686" w:rsidP="00425686">
      <w:pPr>
        <w:ind w:left="357"/>
        <w:jc w:val="both"/>
        <w:rPr>
          <w:kern w:val="2"/>
          <w:lang w:eastAsia="en-US"/>
          <w14:ligatures w14:val="standardContextual"/>
        </w:rPr>
      </w:pPr>
    </w:p>
    <w:p w14:paraId="0C22329C" w14:textId="77777777" w:rsidR="00425686" w:rsidRPr="00A3394C" w:rsidRDefault="00425686" w:rsidP="00425686">
      <w:pPr>
        <w:ind w:left="357"/>
        <w:jc w:val="both"/>
        <w:rPr>
          <w:kern w:val="2"/>
          <w:lang w:eastAsia="en-US"/>
          <w14:ligatures w14:val="standardContextual"/>
        </w:rPr>
      </w:pPr>
      <w:r w:rsidRPr="00801C5E">
        <w:rPr>
          <w:kern w:val="2"/>
          <w:lang w:eastAsia="en-US"/>
          <w14:ligatures w14:val="standardContextual"/>
        </w:rPr>
        <w:t>From 2020 to 2023, the average annual GDP of the European Union was approximately €28,465 per person.</w:t>
      </w:r>
    </w:p>
    <w:p w14:paraId="36D10F39" w14:textId="77777777" w:rsidR="00E1469B" w:rsidRPr="00A3394C" w:rsidRDefault="00E1469B" w:rsidP="00425686">
      <w:pPr>
        <w:ind w:left="357"/>
        <w:jc w:val="both"/>
        <w:rPr>
          <w:kern w:val="2"/>
          <w:lang w:eastAsia="en-US"/>
          <w14:ligatures w14:val="standardContextual"/>
        </w:rPr>
      </w:pPr>
    </w:p>
    <w:p w14:paraId="41F2B2F3" w14:textId="4E0DDC8F" w:rsidR="00425686" w:rsidRPr="00A3394C" w:rsidRDefault="00425686" w:rsidP="00E1469B">
      <w:pPr>
        <w:jc w:val="both"/>
      </w:pPr>
      <w:r w:rsidRPr="00A3394C">
        <w:rPr>
          <w:noProof/>
        </w:rPr>
        <mc:AlternateContent>
          <mc:Choice Requires="wps">
            <w:drawing>
              <wp:anchor distT="0" distB="0" distL="114300" distR="114300" simplePos="0" relativeHeight="251665408" behindDoc="0" locked="0" layoutInCell="1" allowOverlap="1" wp14:anchorId="2EF97922" wp14:editId="33A8D1E9">
                <wp:simplePos x="0" y="0"/>
                <wp:positionH relativeFrom="column">
                  <wp:posOffset>0</wp:posOffset>
                </wp:positionH>
                <wp:positionV relativeFrom="paragraph">
                  <wp:posOffset>0</wp:posOffset>
                </wp:positionV>
                <wp:extent cx="1828800" cy="1828800"/>
                <wp:effectExtent l="0" t="0" r="17145" b="8890"/>
                <wp:wrapSquare wrapText="bothSides"/>
                <wp:docPr id="183845682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10000"/>
                            <a:lumOff val="90000"/>
                          </a:schemeClr>
                        </a:solidFill>
                        <a:ln w="6350">
                          <a:solidFill>
                            <a:prstClr val="black"/>
                          </a:solidFill>
                        </a:ln>
                      </wps:spPr>
                      <wps:txbx>
                        <w:txbxContent>
                          <w:p w14:paraId="2CD5CE17" w14:textId="77777777" w:rsidR="00425686" w:rsidRDefault="00425686" w:rsidP="00425686">
                            <w:pPr>
                              <w:ind w:left="357"/>
                              <w:jc w:val="both"/>
                              <w:rPr>
                                <w:b/>
                                <w:bCs/>
                              </w:rPr>
                            </w:pPr>
                            <w:r w:rsidRPr="00C338ED">
                              <w:rPr>
                                <w:b/>
                                <w:bCs/>
                              </w:rPr>
                              <w:t>Task</w:t>
                            </w:r>
                            <w:r>
                              <w:rPr>
                                <w:b/>
                                <w:bCs/>
                              </w:rPr>
                              <w:t xml:space="preserve"> </w:t>
                            </w:r>
                            <w:r w:rsidRPr="00C338ED">
                              <w:rPr>
                                <w:b/>
                                <w:bCs/>
                              </w:rPr>
                              <w:t>2</w:t>
                            </w:r>
                          </w:p>
                          <w:p w14:paraId="21501BD4" w14:textId="77777777" w:rsidR="00425686" w:rsidRPr="00550F2F" w:rsidRDefault="00425686" w:rsidP="00425686">
                            <w:pPr>
                              <w:ind w:left="357"/>
                              <w:jc w:val="both"/>
                            </w:pPr>
                            <w:r w:rsidRPr="00C338ED">
                              <w:t>Determine the annual GDP changes (in euros per person) of the European Union from 2020 to 2023 and the corresponding average annual GDP change for this period.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F97922" id="_x0000_s1027"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" fillcolor="#dceaf7 [351]" strokeweight=".5pt">
                <v:textbox style="mso-fit-shape-to-text:t">
                  <w:txbxContent>
                    <w:p w14:paraId="2CD5CE17" w14:textId="77777777" w:rsidR="00425686" w:rsidRDefault="00425686" w:rsidP="00425686">
                      <w:pPr>
                        <w:ind w:left="357"/>
                        <w:jc w:val="both"/>
                        <w:rPr>
                          <w:b/>
                          <w:bCs/>
                        </w:rPr>
                      </w:pPr>
                      <w:r w:rsidRPr="00C338ED">
                        <w:rPr>
                          <w:b/>
                          <w:bCs/>
                        </w:rPr>
                        <w:t>Task</w:t>
                      </w:r>
                      <w:r>
                        <w:rPr>
                          <w:b/>
                          <w:bCs/>
                        </w:rPr>
                        <w:t xml:space="preserve"> </w:t>
                      </w:r>
                      <w:r w:rsidRPr="00C338ED">
                        <w:rPr>
                          <w:b/>
                          <w:bCs/>
                        </w:rPr>
                        <w:t>2</w:t>
                      </w:r>
                    </w:p>
                    <w:p w14:paraId="21501BD4" w14:textId="77777777" w:rsidR="00425686" w:rsidRPr="00550F2F" w:rsidRDefault="00425686" w:rsidP="00425686">
                      <w:pPr>
                        <w:ind w:left="357"/>
                        <w:jc w:val="both"/>
                      </w:pPr>
                      <w:r w:rsidRPr="00C338ED">
                        <w:t>Determine the annual GDP changes (in euros per person) of the European Union from 2020 to 2023 and the corresponding average annual GDP change for this period.</w:t>
                      </w:r>
                    </w:p>
                  </w:txbxContent>
                </v:textbox>
                <w10:wrap type="square"/>
              </v:shape>
            </w:pict>
          </mc:Fallback>
        </mc:AlternateContent>
      </w:r>
    </w:p>
    <w:p w14:paraId="71625213" w14:textId="77777777" w:rsidR="0037741A" w:rsidRDefault="00425686" w:rsidP="0037741A">
      <w:pPr>
        <w:ind w:left="357"/>
      </w:pPr>
      <w:r w:rsidRPr="00A3394C">
        <w:t>Annual GDP changes indicate "by how much" the GDP changed year over year. These</w:t>
      </w:r>
      <w:r w:rsidR="00BA2B85">
        <w:t xml:space="preserve">   </w:t>
      </w:r>
      <w:r w:rsidRPr="00A3394C">
        <w:t xml:space="preserve">changes are determined as absolute changes according to equation (2), as shown in </w:t>
      </w:r>
    </w:p>
    <w:p w14:paraId="16C7FAB5" w14:textId="6A3B894A" w:rsidR="00425686" w:rsidRPr="00A3394C" w:rsidRDefault="00425686" w:rsidP="00483D49">
      <w:pPr>
        <w:ind w:left="357"/>
      </w:pPr>
      <w:r w:rsidRPr="00A3394C">
        <w:t>Table</w:t>
      </w:r>
      <w:r w:rsidR="00CD30EC">
        <w:t xml:space="preserve"> </w:t>
      </w:r>
      <w:r w:rsidR="00483D49">
        <w:t>1</w:t>
      </w:r>
      <w:r w:rsidRPr="00A3394C">
        <w:t>.</w:t>
      </w:r>
    </w:p>
    <w:p w14:paraId="10E9B0D9" w14:textId="77777777" w:rsidR="00425686" w:rsidRPr="00A3394C" w:rsidRDefault="00425686" w:rsidP="00425686">
      <w:pPr>
        <w:ind w:left="357"/>
        <w:jc w:val="both"/>
      </w:pPr>
    </w:p>
    <w:p w14:paraId="7032260F" w14:textId="04D34361" w:rsidR="00425686" w:rsidRPr="00A3394C" w:rsidRDefault="00425686" w:rsidP="00425686">
      <w:pPr>
        <w:pStyle w:val="Titulek"/>
        <w:keepNext/>
        <w:jc w:val="center"/>
      </w:pPr>
      <w:r w:rsidRPr="00A3394C">
        <w:t>Tab 1: Basic Measures of GDP Dynamics in the European Union (per person) from 2020 to 2023 (I)</w:t>
      </w:r>
    </w:p>
    <w:tbl>
      <w:tblPr>
        <w:tblW w:w="6246" w:type="dxa"/>
        <w:jc w:val="center"/>
        <w:tblLook w:val="04A0" w:firstRow="1" w:lastRow="0" w:firstColumn="1" w:lastColumn="0" w:noHBand="0" w:noVBand="1"/>
      </w:tblPr>
      <w:tblGrid>
        <w:gridCol w:w="1180"/>
        <w:gridCol w:w="2080"/>
        <w:gridCol w:w="2986"/>
      </w:tblGrid>
      <w:tr w:rsidR="00425686" w:rsidRPr="00A3394C" w14:paraId="0A1B72F4" w14:textId="77777777" w:rsidTr="0070707D">
        <w:trPr>
          <w:trHeight w:val="320"/>
          <w:jc w:val="center"/>
        </w:trPr>
        <w:tc>
          <w:tcPr>
            <w:tcW w:w="1180" w:type="dxa"/>
            <w:tcBorders>
              <w:top w:val="single" w:sz="4" w:space="0" w:color="auto"/>
              <w:left w:val="nil"/>
              <w:bottom w:val="single" w:sz="4" w:space="0" w:color="auto"/>
              <w:right w:val="nil"/>
            </w:tcBorders>
            <w:shd w:val="clear" w:color="auto" w:fill="auto"/>
            <w:noWrap/>
            <w:vAlign w:val="center"/>
            <w:hideMark/>
          </w:tcPr>
          <w:p w14:paraId="4EEAF440" w14:textId="77777777" w:rsidR="00425686" w:rsidRPr="00A3394C" w:rsidRDefault="00425686" w:rsidP="0070707D">
            <w:pPr>
              <w:jc w:val="center"/>
              <w:rPr>
                <w:b/>
                <w:bCs/>
                <w:color w:val="000000"/>
              </w:rPr>
            </w:pPr>
            <w:r w:rsidRPr="00A3394C">
              <w:rPr>
                <w:b/>
                <w:bCs/>
                <w:color w:val="000000"/>
              </w:rPr>
              <w:t>Year</w:t>
            </w:r>
          </w:p>
        </w:tc>
        <w:tc>
          <w:tcPr>
            <w:tcW w:w="2080" w:type="dxa"/>
            <w:tcBorders>
              <w:top w:val="single" w:sz="4" w:space="0" w:color="auto"/>
              <w:left w:val="nil"/>
              <w:bottom w:val="single" w:sz="4" w:space="0" w:color="auto"/>
              <w:right w:val="nil"/>
            </w:tcBorders>
            <w:shd w:val="clear" w:color="auto" w:fill="auto"/>
            <w:noWrap/>
            <w:vAlign w:val="center"/>
            <w:hideMark/>
          </w:tcPr>
          <w:p w14:paraId="26A91D2F" w14:textId="77777777" w:rsidR="00425686" w:rsidRPr="00A3394C" w:rsidRDefault="00425686" w:rsidP="0070707D">
            <w:pPr>
              <w:jc w:val="center"/>
              <w:rPr>
                <w:b/>
                <w:bCs/>
                <w:color w:val="000000"/>
              </w:rPr>
            </w:pPr>
            <w:r w:rsidRPr="00A3394C">
              <w:rPr>
                <w:b/>
                <w:bCs/>
                <w:color w:val="000000"/>
              </w:rPr>
              <w:t>GDP (Euro/person)</w:t>
            </w:r>
          </w:p>
        </w:tc>
        <w:tc>
          <w:tcPr>
            <w:tcW w:w="2986" w:type="dxa"/>
            <w:tcBorders>
              <w:top w:val="single" w:sz="4" w:space="0" w:color="auto"/>
              <w:left w:val="nil"/>
              <w:bottom w:val="single" w:sz="4" w:space="0" w:color="auto"/>
              <w:right w:val="nil"/>
            </w:tcBorders>
            <w:vAlign w:val="center"/>
          </w:tcPr>
          <w:p w14:paraId="40D1570F" w14:textId="77777777" w:rsidR="00425686" w:rsidRPr="00A3394C" w:rsidRDefault="00425686" w:rsidP="0070707D">
            <w:pPr>
              <w:jc w:val="center"/>
              <w:rPr>
                <w:b/>
                <w:bCs/>
                <w:color w:val="000000"/>
              </w:rPr>
            </w:pPr>
            <w:r w:rsidRPr="00A3394C">
              <w:rPr>
                <w:b/>
                <w:bCs/>
                <w:color w:val="000000"/>
              </w:rPr>
              <w:t>Annual GDP change</w:t>
            </w:r>
          </w:p>
          <w:p w14:paraId="3A05C320" w14:textId="77777777" w:rsidR="00425686" w:rsidRPr="00A3394C" w:rsidRDefault="00425686" w:rsidP="0070707D">
            <w:pPr>
              <w:jc w:val="center"/>
              <w:rPr>
                <w:b/>
                <w:bCs/>
                <w:color w:val="000000"/>
              </w:rPr>
            </w:pPr>
            <w:r w:rsidRPr="00A3394C">
              <w:rPr>
                <w:b/>
                <w:bCs/>
                <w:color w:val="000000"/>
              </w:rPr>
              <w:t>(Euro/person)</w:t>
            </w:r>
          </w:p>
        </w:tc>
      </w:tr>
      <w:tr w:rsidR="00425686" w:rsidRPr="00A3394C" w14:paraId="186DF4FE"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5A15A353" w14:textId="77777777" w:rsidR="00425686" w:rsidRPr="00A3394C" w:rsidRDefault="00425686" w:rsidP="0070707D">
            <w:pPr>
              <w:jc w:val="center"/>
              <w:rPr>
                <w:color w:val="000000"/>
              </w:rPr>
            </w:pPr>
            <w:r w:rsidRPr="00A3394C">
              <w:rPr>
                <w:color w:val="000000"/>
              </w:rPr>
              <w:t>2020</w:t>
            </w:r>
          </w:p>
        </w:tc>
        <w:tc>
          <w:tcPr>
            <w:tcW w:w="2080" w:type="dxa"/>
            <w:tcBorders>
              <w:top w:val="nil"/>
              <w:left w:val="nil"/>
              <w:bottom w:val="nil"/>
              <w:right w:val="nil"/>
            </w:tcBorders>
            <w:shd w:val="clear" w:color="auto" w:fill="auto"/>
            <w:noWrap/>
            <w:vAlign w:val="center"/>
            <w:hideMark/>
          </w:tcPr>
          <w:p w14:paraId="0B279932" w14:textId="77777777" w:rsidR="00425686" w:rsidRPr="00A3394C" w:rsidRDefault="00425686" w:rsidP="0070707D">
            <w:pPr>
              <w:jc w:val="center"/>
              <w:rPr>
                <w:color w:val="000000"/>
              </w:rPr>
            </w:pPr>
            <w:r w:rsidRPr="00A3394C">
              <w:rPr>
                <w:color w:val="000000"/>
              </w:rPr>
              <w:t>26 790</w:t>
            </w:r>
          </w:p>
        </w:tc>
        <w:tc>
          <w:tcPr>
            <w:tcW w:w="2986" w:type="dxa"/>
            <w:tcBorders>
              <w:top w:val="nil"/>
              <w:left w:val="nil"/>
              <w:bottom w:val="nil"/>
              <w:right w:val="nil"/>
            </w:tcBorders>
            <w:vAlign w:val="center"/>
          </w:tcPr>
          <w:p w14:paraId="092CD82D" w14:textId="77777777" w:rsidR="00425686" w:rsidRPr="00A3394C" w:rsidRDefault="00425686" w:rsidP="0070707D">
            <w:pPr>
              <w:jc w:val="center"/>
              <w:rPr>
                <w:color w:val="000000"/>
              </w:rPr>
            </w:pPr>
            <w:r w:rsidRPr="00A3394C">
              <w:rPr>
                <w:color w:val="000000"/>
              </w:rPr>
              <w:t>---</w:t>
            </w:r>
          </w:p>
        </w:tc>
      </w:tr>
      <w:tr w:rsidR="00425686" w:rsidRPr="00A3394C" w14:paraId="12A17305"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4D5C620E" w14:textId="77777777" w:rsidR="00425686" w:rsidRPr="00A3394C" w:rsidRDefault="00425686" w:rsidP="0070707D">
            <w:pPr>
              <w:jc w:val="center"/>
              <w:rPr>
                <w:color w:val="000000"/>
              </w:rPr>
            </w:pPr>
            <w:r w:rsidRPr="00A3394C">
              <w:rPr>
                <w:color w:val="000000"/>
              </w:rPr>
              <w:t>2021</w:t>
            </w:r>
          </w:p>
        </w:tc>
        <w:tc>
          <w:tcPr>
            <w:tcW w:w="2080" w:type="dxa"/>
            <w:tcBorders>
              <w:top w:val="nil"/>
              <w:left w:val="nil"/>
              <w:bottom w:val="nil"/>
              <w:right w:val="nil"/>
            </w:tcBorders>
            <w:shd w:val="clear" w:color="auto" w:fill="auto"/>
            <w:noWrap/>
            <w:vAlign w:val="center"/>
            <w:hideMark/>
          </w:tcPr>
          <w:p w14:paraId="6C2A8C40" w14:textId="77777777" w:rsidR="00425686" w:rsidRPr="00A3394C" w:rsidRDefault="00425686" w:rsidP="0070707D">
            <w:pPr>
              <w:jc w:val="center"/>
              <w:rPr>
                <w:color w:val="000000"/>
              </w:rPr>
            </w:pPr>
            <w:r w:rsidRPr="00A3394C">
              <w:rPr>
                <w:color w:val="000000"/>
              </w:rPr>
              <w:t>28 490</w:t>
            </w:r>
          </w:p>
        </w:tc>
        <w:tc>
          <w:tcPr>
            <w:tcW w:w="2986" w:type="dxa"/>
            <w:tcBorders>
              <w:top w:val="nil"/>
              <w:left w:val="nil"/>
              <w:bottom w:val="nil"/>
              <w:right w:val="nil"/>
            </w:tcBorders>
            <w:vAlign w:val="center"/>
          </w:tcPr>
          <w:p w14:paraId="375352EF" w14:textId="77777777" w:rsidR="00425686" w:rsidRPr="00A3394C" w:rsidRDefault="00425686" w:rsidP="0070707D">
            <w:pPr>
              <w:jc w:val="center"/>
              <w:rPr>
                <w:color w:val="000000"/>
              </w:rPr>
            </w:pPr>
            <w:r w:rsidRPr="00A3394C">
              <w:rPr>
                <w:color w:val="000000"/>
              </w:rPr>
              <w:t>28 490 – 26 790 = 1 700</w:t>
            </w:r>
          </w:p>
        </w:tc>
      </w:tr>
      <w:tr w:rsidR="00425686" w:rsidRPr="00A3394C" w14:paraId="1482715F"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56C63246" w14:textId="77777777" w:rsidR="00425686" w:rsidRPr="00A3394C" w:rsidRDefault="00425686" w:rsidP="0070707D">
            <w:pPr>
              <w:jc w:val="center"/>
              <w:rPr>
                <w:color w:val="000000"/>
              </w:rPr>
            </w:pPr>
            <w:r w:rsidRPr="00A3394C">
              <w:rPr>
                <w:color w:val="000000"/>
              </w:rPr>
              <w:t>2022</w:t>
            </w:r>
          </w:p>
        </w:tc>
        <w:tc>
          <w:tcPr>
            <w:tcW w:w="2080" w:type="dxa"/>
            <w:tcBorders>
              <w:top w:val="nil"/>
              <w:left w:val="nil"/>
              <w:bottom w:val="nil"/>
              <w:right w:val="nil"/>
            </w:tcBorders>
            <w:shd w:val="clear" w:color="auto" w:fill="auto"/>
            <w:noWrap/>
            <w:vAlign w:val="center"/>
            <w:hideMark/>
          </w:tcPr>
          <w:p w14:paraId="0C838EC2" w14:textId="77777777" w:rsidR="00425686" w:rsidRPr="00A3394C" w:rsidRDefault="00425686" w:rsidP="0070707D">
            <w:pPr>
              <w:jc w:val="center"/>
              <w:rPr>
                <w:color w:val="000000"/>
              </w:rPr>
            </w:pPr>
            <w:r w:rsidRPr="00A3394C">
              <w:rPr>
                <w:color w:val="000000"/>
              </w:rPr>
              <w:t>29 300</w:t>
            </w:r>
          </w:p>
        </w:tc>
        <w:tc>
          <w:tcPr>
            <w:tcW w:w="2986" w:type="dxa"/>
            <w:tcBorders>
              <w:top w:val="nil"/>
              <w:left w:val="nil"/>
              <w:bottom w:val="nil"/>
              <w:right w:val="nil"/>
            </w:tcBorders>
            <w:vAlign w:val="center"/>
          </w:tcPr>
          <w:p w14:paraId="2E086E76" w14:textId="77777777" w:rsidR="00425686" w:rsidRPr="00A3394C" w:rsidRDefault="00425686" w:rsidP="0070707D">
            <w:pPr>
              <w:jc w:val="center"/>
              <w:rPr>
                <w:color w:val="000000"/>
              </w:rPr>
            </w:pPr>
            <w:r w:rsidRPr="00A3394C">
              <w:rPr>
                <w:color w:val="000000"/>
              </w:rPr>
              <w:t>29 300 – 28 490 = 810</w:t>
            </w:r>
          </w:p>
        </w:tc>
      </w:tr>
      <w:tr w:rsidR="00425686" w:rsidRPr="00A3394C" w14:paraId="6D25B3A8" w14:textId="77777777" w:rsidTr="0070707D">
        <w:trPr>
          <w:trHeight w:val="320"/>
          <w:jc w:val="center"/>
        </w:trPr>
        <w:tc>
          <w:tcPr>
            <w:tcW w:w="1180" w:type="dxa"/>
            <w:tcBorders>
              <w:top w:val="nil"/>
              <w:left w:val="nil"/>
              <w:bottom w:val="single" w:sz="4" w:space="0" w:color="auto"/>
              <w:right w:val="nil"/>
            </w:tcBorders>
            <w:shd w:val="clear" w:color="auto" w:fill="auto"/>
            <w:noWrap/>
            <w:vAlign w:val="center"/>
            <w:hideMark/>
          </w:tcPr>
          <w:p w14:paraId="6B440E72" w14:textId="77777777" w:rsidR="00425686" w:rsidRPr="00A3394C" w:rsidRDefault="00425686" w:rsidP="0070707D">
            <w:pPr>
              <w:jc w:val="center"/>
              <w:rPr>
                <w:color w:val="000000"/>
              </w:rPr>
            </w:pPr>
            <w:r w:rsidRPr="00A3394C">
              <w:rPr>
                <w:color w:val="000000"/>
              </w:rPr>
              <w:t>2023</w:t>
            </w:r>
          </w:p>
        </w:tc>
        <w:tc>
          <w:tcPr>
            <w:tcW w:w="2080" w:type="dxa"/>
            <w:tcBorders>
              <w:top w:val="nil"/>
              <w:left w:val="nil"/>
              <w:bottom w:val="single" w:sz="4" w:space="0" w:color="auto"/>
              <w:right w:val="nil"/>
            </w:tcBorders>
            <w:shd w:val="clear" w:color="auto" w:fill="auto"/>
            <w:noWrap/>
            <w:vAlign w:val="center"/>
            <w:hideMark/>
          </w:tcPr>
          <w:p w14:paraId="2CEB0973" w14:textId="77777777" w:rsidR="00425686" w:rsidRPr="00A3394C" w:rsidRDefault="00425686" w:rsidP="0070707D">
            <w:pPr>
              <w:jc w:val="center"/>
              <w:rPr>
                <w:color w:val="000000"/>
              </w:rPr>
            </w:pPr>
            <w:r w:rsidRPr="00A3394C">
              <w:rPr>
                <w:color w:val="000000"/>
              </w:rPr>
              <w:t>29 280</w:t>
            </w:r>
          </w:p>
        </w:tc>
        <w:tc>
          <w:tcPr>
            <w:tcW w:w="2986" w:type="dxa"/>
            <w:tcBorders>
              <w:top w:val="nil"/>
              <w:left w:val="nil"/>
              <w:bottom w:val="single" w:sz="4" w:space="0" w:color="auto"/>
              <w:right w:val="nil"/>
            </w:tcBorders>
            <w:vAlign w:val="center"/>
          </w:tcPr>
          <w:p w14:paraId="4FD6591E" w14:textId="77777777" w:rsidR="00425686" w:rsidRPr="00A3394C" w:rsidRDefault="00425686" w:rsidP="0070707D">
            <w:pPr>
              <w:jc w:val="center"/>
              <w:rPr>
                <w:color w:val="000000"/>
              </w:rPr>
            </w:pPr>
            <w:r w:rsidRPr="00A3394C">
              <w:rPr>
                <w:color w:val="000000"/>
              </w:rPr>
              <w:t>29 280 – 29 300 = -20</w:t>
            </w:r>
          </w:p>
        </w:tc>
      </w:tr>
      <w:tr w:rsidR="00425686" w:rsidRPr="00A3394C" w14:paraId="2D07110B" w14:textId="77777777" w:rsidTr="0070707D">
        <w:trPr>
          <w:trHeight w:val="300"/>
          <w:jc w:val="center"/>
        </w:trPr>
        <w:tc>
          <w:tcPr>
            <w:tcW w:w="1180" w:type="dxa"/>
            <w:tcBorders>
              <w:top w:val="nil"/>
              <w:left w:val="nil"/>
              <w:bottom w:val="single" w:sz="4" w:space="0" w:color="auto"/>
              <w:right w:val="nil"/>
            </w:tcBorders>
            <w:shd w:val="clear" w:color="auto" w:fill="auto"/>
            <w:noWrap/>
            <w:vAlign w:val="center"/>
            <w:hideMark/>
          </w:tcPr>
          <w:p w14:paraId="5A6A131D" w14:textId="77777777" w:rsidR="00425686" w:rsidRPr="00A3394C" w:rsidRDefault="00425686" w:rsidP="0070707D">
            <w:pPr>
              <w:jc w:val="center"/>
              <w:rPr>
                <w:b/>
                <w:bCs/>
                <w:color w:val="000000"/>
              </w:rPr>
            </w:pPr>
            <w:r w:rsidRPr="00A3394C">
              <w:rPr>
                <w:b/>
                <w:bCs/>
                <w:color w:val="000000"/>
              </w:rPr>
              <w:t>Average</w:t>
            </w:r>
          </w:p>
        </w:tc>
        <w:tc>
          <w:tcPr>
            <w:tcW w:w="2080" w:type="dxa"/>
            <w:tcBorders>
              <w:top w:val="nil"/>
              <w:left w:val="nil"/>
              <w:bottom w:val="single" w:sz="4" w:space="0" w:color="auto"/>
              <w:right w:val="nil"/>
            </w:tcBorders>
            <w:shd w:val="clear" w:color="auto" w:fill="auto"/>
            <w:noWrap/>
            <w:vAlign w:val="center"/>
            <w:hideMark/>
          </w:tcPr>
          <w:p w14:paraId="326C2CB5" w14:textId="77777777" w:rsidR="00425686" w:rsidRPr="00A3394C" w:rsidRDefault="00425686" w:rsidP="0070707D">
            <w:pPr>
              <w:jc w:val="center"/>
              <w:rPr>
                <w:b/>
                <w:bCs/>
                <w:color w:val="000000"/>
              </w:rPr>
            </w:pPr>
            <w:r w:rsidRPr="00A3394C">
              <w:rPr>
                <w:b/>
                <w:bCs/>
                <w:color w:val="000000"/>
              </w:rPr>
              <w:t>28 465</w:t>
            </w:r>
          </w:p>
        </w:tc>
        <w:tc>
          <w:tcPr>
            <w:tcW w:w="2986" w:type="dxa"/>
            <w:tcBorders>
              <w:top w:val="nil"/>
              <w:left w:val="nil"/>
              <w:bottom w:val="single" w:sz="4" w:space="0" w:color="auto"/>
              <w:right w:val="nil"/>
            </w:tcBorders>
            <w:vAlign w:val="center"/>
          </w:tcPr>
          <w:p w14:paraId="7AFBE82D" w14:textId="77777777" w:rsidR="00425686" w:rsidRPr="00A3394C" w:rsidRDefault="00425686" w:rsidP="0070707D">
            <w:pPr>
              <w:jc w:val="center"/>
              <w:rPr>
                <w:b/>
                <w:bCs/>
                <w:color w:val="000000"/>
              </w:rPr>
            </w:pPr>
          </w:p>
        </w:tc>
      </w:tr>
    </w:tbl>
    <w:p w14:paraId="1882782F" w14:textId="77777777" w:rsidR="00425686" w:rsidRPr="00A3394C" w:rsidRDefault="00425686" w:rsidP="00425686">
      <w:pPr>
        <w:jc w:val="both"/>
      </w:pPr>
    </w:p>
    <w:p w14:paraId="604970D9" w14:textId="77777777" w:rsidR="00425686" w:rsidRPr="00A3394C" w:rsidRDefault="00425686" w:rsidP="00425686">
      <w:pPr>
        <w:pStyle w:val="Odstavecseseznamem"/>
        <w:numPr>
          <w:ilvl w:val="0"/>
          <w:numId w:val="8"/>
        </w:numPr>
        <w:rPr>
          <w:lang w:eastAsia="cs-CZ"/>
        </w:rPr>
      </w:pPr>
      <w:r w:rsidRPr="00A3394C">
        <w:t xml:space="preserve"> In 2021, the annual GDP per person in the European Union increased by €1 700.</w:t>
      </w:r>
    </w:p>
    <w:p w14:paraId="7C7B237F" w14:textId="77777777" w:rsidR="00425686" w:rsidRPr="00A3394C" w:rsidRDefault="00425686" w:rsidP="00425686">
      <w:pPr>
        <w:pStyle w:val="Odstavecseseznamem"/>
        <w:numPr>
          <w:ilvl w:val="0"/>
          <w:numId w:val="8"/>
        </w:numPr>
      </w:pPr>
      <w:r w:rsidRPr="00A3394C">
        <w:t xml:space="preserve"> In 2022, the annual GDP increase was €810 per person.</w:t>
      </w:r>
    </w:p>
    <w:p w14:paraId="1B0DCA35" w14:textId="77777777" w:rsidR="00425686" w:rsidRPr="00A3394C" w:rsidRDefault="00425686" w:rsidP="00425686">
      <w:pPr>
        <w:pStyle w:val="Odstavecseseznamem"/>
        <w:numPr>
          <w:ilvl w:val="0"/>
          <w:numId w:val="8"/>
        </w:numPr>
        <w:jc w:val="both"/>
      </w:pPr>
      <w:r w:rsidRPr="00A3394C">
        <w:t xml:space="preserve"> In 2023, there was a slight decrease in annual GDP of €20 per person.</w:t>
      </w:r>
    </w:p>
    <w:p w14:paraId="7BBF5921" w14:textId="77777777" w:rsidR="00425686" w:rsidRPr="00A3394C" w:rsidRDefault="00425686" w:rsidP="000800C6">
      <w:pPr>
        <w:jc w:val="both"/>
      </w:pPr>
    </w:p>
    <w:p w14:paraId="76CB30B6" w14:textId="77777777" w:rsidR="00425686" w:rsidRPr="00A3394C" w:rsidRDefault="00425686" w:rsidP="00425686">
      <w:pPr>
        <w:ind w:left="360"/>
        <w:jc w:val="both"/>
      </w:pPr>
      <w:r w:rsidRPr="00A3394C">
        <w:t>Now, we can determine the average annual GDP change using equation (3), either by calculating the arithmetic mean of the annual changes or by using only the initial and final values of the analyzed time series:</w:t>
      </w:r>
    </w:p>
    <w:p w14:paraId="6C189B58" w14:textId="77777777" w:rsidR="00425686" w:rsidRPr="00A3394C" w:rsidRDefault="00425686" w:rsidP="00425686">
      <w:pPr>
        <w:ind w:left="360"/>
        <w:jc w:val="both"/>
      </w:pPr>
    </w:p>
    <w:p w14:paraId="070C6819" w14:textId="12201ACF" w:rsidR="00425686" w:rsidRPr="00A3394C" w:rsidRDefault="00000000" w:rsidP="00425686">
      <w:pPr>
        <w:ind w:left="360"/>
        <w:jc w:val="center"/>
        <w:rPr>
          <w:kern w:val="2"/>
          <w:lang w:eastAsia="en-US"/>
          <w14:ligatures w14:val="standardContextual"/>
        </w:rPr>
      </w:pPr>
      <m:oMath>
        <m:acc>
          <m:accPr>
            <m:chr m:val="̅"/>
            <m:ctrlPr>
              <w:rPr>
                <w:rFonts w:ascii="Cambria Math" w:hAnsi="Cambria Math"/>
                <w:i/>
              </w:rPr>
            </m:ctrlPr>
          </m:accPr>
          <m:e>
            <m:r>
              <w:rPr>
                <w:rFonts w:ascii="Cambria Math" w:hAnsi="Cambria Math"/>
              </w:rPr>
              <m:t>∆</m:t>
            </m:r>
          </m:e>
        </m:acc>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num>
          <m:den>
            <m:r>
              <w:rPr>
                <w:rFonts w:ascii="Cambria Math" w:hAnsi="Cambria Math"/>
              </w:rPr>
              <m:t>4-1</m:t>
            </m:r>
          </m:den>
        </m:f>
        <m:r>
          <w:rPr>
            <w:rFonts w:ascii="Cambria Math" w:hAnsi="Cambria Math"/>
          </w:rPr>
          <m:t xml:space="preserve">= </m:t>
        </m:r>
        <m:f>
          <m:fPr>
            <m:ctrlPr>
              <w:rPr>
                <w:rFonts w:ascii="Cambria Math" w:hAnsi="Cambria Math"/>
                <w:i/>
              </w:rPr>
            </m:ctrlPr>
          </m:fPr>
          <m:num>
            <m:r>
              <w:rPr>
                <w:rFonts w:ascii="Cambria Math" w:hAnsi="Cambria Math"/>
              </w:rPr>
              <m:t xml:space="preserve">1 700+810+ </m:t>
            </m:r>
            <m:d>
              <m:dPr>
                <m:ctrlPr>
                  <w:rPr>
                    <w:rFonts w:ascii="Cambria Math" w:hAnsi="Cambria Math"/>
                    <w:i/>
                  </w:rPr>
                </m:ctrlPr>
              </m:dPr>
              <m:e>
                <m:r>
                  <w:rPr>
                    <w:rFonts w:ascii="Cambria Math" w:hAnsi="Cambria Math"/>
                  </w:rPr>
                  <m:t>-20</m:t>
                </m:r>
              </m:e>
            </m:d>
          </m:num>
          <m:den>
            <m:r>
              <w:rPr>
                <w:rFonts w:ascii="Cambria Math" w:hAnsi="Cambria Math"/>
              </w:rPr>
              <m:t>3</m:t>
            </m:r>
          </m:den>
        </m:f>
        <m:r>
          <w:rPr>
            <w:rFonts w:ascii="Cambria Math" w:eastAsiaTheme="minorEastAsia" w:hAnsi="Cambria Math"/>
            <w:kern w:val="2"/>
            <w:lang w:eastAsia="en-US"/>
            <w14:ligatures w14:val="standardContextual"/>
          </w:rPr>
          <m:t>=830</m:t>
        </m:r>
      </m:oMath>
      <w:r w:rsidR="00425686" w:rsidRPr="00A3394C">
        <w:t xml:space="preserve">   or    </w:t>
      </w:r>
      <m:oMath>
        <m:acc>
          <m:accPr>
            <m:chr m:val="̅"/>
            <m:ctrlPr>
              <w:rPr>
                <w:rFonts w:ascii="Cambria Math" w:hAnsi="Cambria Math"/>
                <w:i/>
              </w:rPr>
            </m:ctrlPr>
          </m:accPr>
          <m:e>
            <m:r>
              <w:rPr>
                <w:rFonts w:ascii="Cambria Math" w:hAnsi="Cambria Math"/>
              </w:rPr>
              <m:t>∆</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4-1</m:t>
            </m:r>
          </m:den>
        </m:f>
        <m:r>
          <w:rPr>
            <w:rFonts w:ascii="Cambria Math" w:hAnsi="Cambria Math"/>
          </w:rPr>
          <m:t xml:space="preserve">= </m:t>
        </m:r>
        <m:f>
          <m:fPr>
            <m:ctrlPr>
              <w:rPr>
                <w:rFonts w:ascii="Cambria Math" w:hAnsi="Cambria Math"/>
                <w:i/>
              </w:rPr>
            </m:ctrlPr>
          </m:fPr>
          <m:num>
            <m:r>
              <w:rPr>
                <w:rFonts w:ascii="Cambria Math" w:hAnsi="Cambria Math"/>
              </w:rPr>
              <m:t>29 280-26 790</m:t>
            </m:r>
          </m:num>
          <m:den>
            <m:r>
              <w:rPr>
                <w:rFonts w:ascii="Cambria Math" w:hAnsi="Cambria Math"/>
              </w:rPr>
              <m:t>3</m:t>
            </m:r>
          </m:den>
        </m:f>
        <m:r>
          <w:rPr>
            <w:rFonts w:ascii="Cambria Math" w:eastAsiaTheme="minorEastAsia" w:hAnsi="Cambria Math"/>
            <w:kern w:val="2"/>
            <w:lang w:eastAsia="en-US"/>
            <w14:ligatures w14:val="standardContextual"/>
          </w:rPr>
          <m:t>=830</m:t>
        </m:r>
      </m:oMath>
      <w:r w:rsidR="00B96730">
        <w:rPr>
          <w:kern w:val="2"/>
          <w:lang w:eastAsia="en-US"/>
          <w14:ligatures w14:val="standardContextual"/>
        </w:rPr>
        <w:t>.</w:t>
      </w:r>
    </w:p>
    <w:p w14:paraId="02023491" w14:textId="77777777" w:rsidR="00425686" w:rsidRPr="00A3394C" w:rsidRDefault="00425686" w:rsidP="00425686">
      <w:pPr>
        <w:ind w:left="360"/>
        <w:jc w:val="center"/>
      </w:pPr>
    </w:p>
    <w:p w14:paraId="29A75BF8" w14:textId="77777777" w:rsidR="00425686" w:rsidRPr="00A3394C" w:rsidRDefault="00425686" w:rsidP="00425686">
      <w:pPr>
        <w:ind w:left="360"/>
        <w:jc w:val="both"/>
      </w:pPr>
      <w:r w:rsidRPr="00A3394C">
        <w:t>From 2020 to 2023, the GDP in the European Union increased by an average of €830 per person per year.</w:t>
      </w:r>
    </w:p>
    <w:p w14:paraId="1C44D139" w14:textId="77777777" w:rsidR="00425686" w:rsidRPr="00A3394C" w:rsidRDefault="00425686" w:rsidP="000800C6">
      <w:pPr>
        <w:jc w:val="both"/>
        <w:rPr>
          <w:highlight w:val="yellow"/>
        </w:rPr>
      </w:pPr>
    </w:p>
    <w:p w14:paraId="171B4350" w14:textId="77777777" w:rsidR="00425686" w:rsidRPr="00A3394C" w:rsidRDefault="00425686" w:rsidP="00425686">
      <w:pPr>
        <w:ind w:left="360"/>
        <w:jc w:val="both"/>
        <w:rPr>
          <w:highlight w:val="yellow"/>
        </w:rPr>
      </w:pPr>
      <w:r w:rsidRPr="00A3394C">
        <w:rPr>
          <w:highlight w:val="yellow"/>
        </w:rPr>
        <w:t>The average change can also be interpreted as follows: If the GDP had increased by exactly €830 per person every year from the initial value in 2020, the GDP in 2023 would have reached the observed final value.</w:t>
      </w:r>
    </w:p>
    <w:p w14:paraId="0BF2121B" w14:textId="77777777" w:rsidR="00425686" w:rsidRPr="00A3394C" w:rsidRDefault="00425686" w:rsidP="00425686">
      <w:pPr>
        <w:ind w:left="360"/>
        <w:jc w:val="both"/>
        <w:rPr>
          <w:highlight w:val="yellow"/>
        </w:rPr>
      </w:pPr>
    </w:p>
    <w:p w14:paraId="0ECB9B78" w14:textId="77777777" w:rsidR="00425686" w:rsidRPr="00A3394C" w:rsidRDefault="00425686" w:rsidP="00425686">
      <w:pPr>
        <w:ind w:left="360"/>
        <w:jc w:val="both"/>
      </w:pPr>
      <w:r w:rsidRPr="00A3394C">
        <w:rPr>
          <w:highlight w:val="yellow"/>
        </w:rPr>
        <w:t>Suppose we know that the average annual GDP increase from 2020 to 2023 was €830 per person, and in 2020, the GDP per person was €26,790. Since there were three annual changes in this period, we can conclude that in 2023, the GDP per person was:</w:t>
      </w:r>
    </w:p>
    <w:p w14:paraId="34180171" w14:textId="77777777" w:rsidR="00425686" w:rsidRPr="00A3394C" w:rsidRDefault="00425686" w:rsidP="00425686">
      <w:pPr>
        <w:ind w:left="360"/>
        <w:jc w:val="both"/>
      </w:pPr>
    </w:p>
    <w:p w14:paraId="17FC2465" w14:textId="77777777" w:rsidR="00425686" w:rsidRPr="00A3394C" w:rsidRDefault="00425686" w:rsidP="00425686">
      <w:pPr>
        <w:ind w:left="360"/>
        <w:jc w:val="center"/>
      </w:pPr>
      <m:oMath>
        <m:r>
          <w:rPr>
            <w:rFonts w:ascii="Cambria Math" w:hAnsi="Cambria Math"/>
            <w:highlight w:val="yellow"/>
          </w:rPr>
          <m:t>26 790+3∙830=29 280</m:t>
        </m:r>
      </m:oMath>
      <w:r w:rsidRPr="00A3394C">
        <w:rPr>
          <w:highlight w:val="yellow"/>
        </w:rPr>
        <w:t xml:space="preserve"> (Euro per person).</w:t>
      </w:r>
    </w:p>
    <w:p w14:paraId="38296B4B" w14:textId="77777777" w:rsidR="009E6455" w:rsidRPr="00A3394C" w:rsidRDefault="009E6455" w:rsidP="00425686">
      <w:pPr>
        <w:ind w:left="360"/>
        <w:jc w:val="center"/>
      </w:pPr>
    </w:p>
    <w:p w14:paraId="2413D84B" w14:textId="4684E2BF" w:rsidR="00425686" w:rsidRPr="00A3394C" w:rsidRDefault="00425686" w:rsidP="009E6455">
      <w:pPr>
        <w:jc w:val="both"/>
      </w:pPr>
      <w:r w:rsidRPr="00A3394C">
        <w:rPr>
          <w:noProof/>
        </w:rPr>
        <mc:AlternateContent>
          <mc:Choice Requires="wps">
            <w:drawing>
              <wp:anchor distT="0" distB="0" distL="114300" distR="114300" simplePos="0" relativeHeight="251664384" behindDoc="0" locked="0" layoutInCell="1" allowOverlap="1" wp14:anchorId="7DD20E0B" wp14:editId="7E71B7C6">
                <wp:simplePos x="0" y="0"/>
                <wp:positionH relativeFrom="column">
                  <wp:posOffset>0</wp:posOffset>
                </wp:positionH>
                <wp:positionV relativeFrom="paragraph">
                  <wp:posOffset>171450</wp:posOffset>
                </wp:positionV>
                <wp:extent cx="1828800" cy="1828800"/>
                <wp:effectExtent l="0" t="0" r="17145" b="8890"/>
                <wp:wrapSquare wrapText="bothSides"/>
                <wp:docPr id="5714754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10000"/>
                            <a:lumOff val="90000"/>
                          </a:schemeClr>
                        </a:solidFill>
                        <a:ln w="6350">
                          <a:solidFill>
                            <a:prstClr val="black"/>
                          </a:solidFill>
                        </a:ln>
                      </wps:spPr>
                      <wps:txbx>
                        <w:txbxContent>
                          <w:p w14:paraId="6C5AD527" w14:textId="77777777" w:rsidR="00425686" w:rsidRDefault="00425686" w:rsidP="00425686">
                            <w:pPr>
                              <w:ind w:left="357"/>
                              <w:jc w:val="both"/>
                              <w:rPr>
                                <w:b/>
                                <w:bCs/>
                              </w:rPr>
                            </w:pPr>
                            <w:r w:rsidRPr="00716695">
                              <w:rPr>
                                <w:b/>
                                <w:bCs/>
                              </w:rPr>
                              <w:t>Task 3</w:t>
                            </w:r>
                          </w:p>
                          <w:p w14:paraId="73B01E3E" w14:textId="77777777" w:rsidR="00425686" w:rsidRPr="00550F2F" w:rsidRDefault="00425686" w:rsidP="00425686">
                            <w:pPr>
                              <w:ind w:left="357"/>
                              <w:jc w:val="both"/>
                            </w:pPr>
                            <w:r w:rsidRPr="00716695">
                              <w:t>Determine the annual GDP growth rates of the European Union from 2020 to 2023 and the corresponding average GDP growth rate for this period.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DD20E0B" id="_x0000_s1028" type="#_x0000_t202" style="position:absolute;left:0;text-align:left;margin-left:0;margin-top:13.5pt;width:2in;height:2in;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" fillcolor="#dceaf7 [351]" strokeweight=".5pt">
                <v:textbox style="mso-fit-shape-to-text:t">
                  <w:txbxContent>
                    <w:p w14:paraId="6C5AD527" w14:textId="77777777" w:rsidR="00425686" w:rsidRDefault="00425686" w:rsidP="00425686">
                      <w:pPr>
                        <w:ind w:left="357"/>
                        <w:jc w:val="both"/>
                        <w:rPr>
                          <w:b/>
                          <w:bCs/>
                        </w:rPr>
                      </w:pPr>
                      <w:r w:rsidRPr="00716695">
                        <w:rPr>
                          <w:b/>
                          <w:bCs/>
                        </w:rPr>
                        <w:t>Task 3</w:t>
                      </w:r>
                    </w:p>
                    <w:p w14:paraId="73B01E3E" w14:textId="77777777" w:rsidR="00425686" w:rsidRPr="00550F2F" w:rsidRDefault="00425686" w:rsidP="00425686">
                      <w:pPr>
                        <w:ind w:left="357"/>
                        <w:jc w:val="both"/>
                      </w:pPr>
                      <w:r w:rsidRPr="00716695">
                        <w:t>Determine the annual GDP growth rates of the European Union from 2020 to 2023 and the corresponding average GDP growth rate for this period.</w:t>
                      </w:r>
                    </w:p>
                  </w:txbxContent>
                </v:textbox>
                <w10:wrap type="square"/>
              </v:shape>
            </w:pict>
          </mc:Fallback>
        </mc:AlternateContent>
      </w:r>
    </w:p>
    <w:p w14:paraId="285D8C8A" w14:textId="77777777" w:rsidR="00425686" w:rsidRPr="00A3394C" w:rsidRDefault="00425686" w:rsidP="00425686">
      <w:pPr>
        <w:ind w:left="357"/>
        <w:jc w:val="both"/>
      </w:pPr>
      <w:r w:rsidRPr="00A3394C">
        <w:lastRenderedPageBreak/>
        <w:t>Annual GDP growth rates indicate "by how much" the GDP changed year over year. These rates are calculated as growth coefficients according to equation (4), as shown in Table 2.</w:t>
      </w:r>
    </w:p>
    <w:p w14:paraId="27E55510" w14:textId="77777777" w:rsidR="00425686" w:rsidRPr="00A3394C" w:rsidRDefault="00425686" w:rsidP="00425686">
      <w:pPr>
        <w:ind w:left="357"/>
        <w:jc w:val="both"/>
      </w:pPr>
    </w:p>
    <w:p w14:paraId="3EC99023" w14:textId="77777777" w:rsidR="00425686" w:rsidRPr="00A3394C" w:rsidRDefault="00425686" w:rsidP="00425686">
      <w:pPr>
        <w:pStyle w:val="Titulek"/>
        <w:keepNext/>
        <w:jc w:val="center"/>
      </w:pPr>
      <w:r w:rsidRPr="00A3394C">
        <w:t>Tab 2: Basic measures of GDP dynamics in European Union (per person) from 2020 to 2023 (II)</w:t>
      </w:r>
    </w:p>
    <w:tbl>
      <w:tblPr>
        <w:tblW w:w="8414" w:type="dxa"/>
        <w:tblInd w:w="612" w:type="dxa"/>
        <w:tblLook w:val="04A0" w:firstRow="1" w:lastRow="0" w:firstColumn="1" w:lastColumn="0" w:noHBand="0" w:noVBand="1"/>
      </w:tblPr>
      <w:tblGrid>
        <w:gridCol w:w="1180"/>
        <w:gridCol w:w="2080"/>
        <w:gridCol w:w="2706"/>
        <w:gridCol w:w="2448"/>
      </w:tblGrid>
      <w:tr w:rsidR="00425686" w:rsidRPr="00A3394C" w14:paraId="598C76BE" w14:textId="77777777" w:rsidTr="0070707D">
        <w:trPr>
          <w:trHeight w:val="320"/>
        </w:trPr>
        <w:tc>
          <w:tcPr>
            <w:tcW w:w="1180" w:type="dxa"/>
            <w:tcBorders>
              <w:top w:val="single" w:sz="4" w:space="0" w:color="auto"/>
              <w:left w:val="nil"/>
              <w:bottom w:val="single" w:sz="4" w:space="0" w:color="auto"/>
              <w:right w:val="nil"/>
            </w:tcBorders>
            <w:shd w:val="clear" w:color="auto" w:fill="auto"/>
            <w:noWrap/>
            <w:vAlign w:val="center"/>
            <w:hideMark/>
          </w:tcPr>
          <w:p w14:paraId="55AB5F1D" w14:textId="77777777" w:rsidR="00425686" w:rsidRPr="00A3394C" w:rsidRDefault="00425686" w:rsidP="0070707D">
            <w:pPr>
              <w:jc w:val="center"/>
              <w:rPr>
                <w:b/>
                <w:bCs/>
                <w:color w:val="000000"/>
              </w:rPr>
            </w:pPr>
            <w:r w:rsidRPr="00A3394C">
              <w:rPr>
                <w:b/>
                <w:bCs/>
                <w:color w:val="000000"/>
              </w:rPr>
              <w:t>Year</w:t>
            </w:r>
          </w:p>
        </w:tc>
        <w:tc>
          <w:tcPr>
            <w:tcW w:w="2080" w:type="dxa"/>
            <w:tcBorders>
              <w:top w:val="single" w:sz="4" w:space="0" w:color="auto"/>
              <w:left w:val="nil"/>
              <w:bottom w:val="single" w:sz="4" w:space="0" w:color="auto"/>
              <w:right w:val="nil"/>
            </w:tcBorders>
            <w:shd w:val="clear" w:color="auto" w:fill="auto"/>
            <w:noWrap/>
            <w:vAlign w:val="center"/>
            <w:hideMark/>
          </w:tcPr>
          <w:p w14:paraId="2A6CB18E" w14:textId="77777777" w:rsidR="00425686" w:rsidRPr="00A3394C" w:rsidRDefault="00425686" w:rsidP="0070707D">
            <w:pPr>
              <w:jc w:val="center"/>
              <w:rPr>
                <w:b/>
                <w:bCs/>
                <w:color w:val="000000"/>
              </w:rPr>
            </w:pPr>
            <w:r w:rsidRPr="00A3394C">
              <w:rPr>
                <w:b/>
                <w:bCs/>
                <w:color w:val="000000"/>
              </w:rPr>
              <w:t>GDP</w:t>
            </w:r>
          </w:p>
          <w:p w14:paraId="26E45C25" w14:textId="77777777" w:rsidR="00425686" w:rsidRPr="00A3394C" w:rsidRDefault="00425686" w:rsidP="0070707D">
            <w:pPr>
              <w:jc w:val="center"/>
              <w:rPr>
                <w:b/>
                <w:bCs/>
                <w:color w:val="000000"/>
              </w:rPr>
            </w:pPr>
            <w:r w:rsidRPr="00A3394C">
              <w:rPr>
                <w:b/>
                <w:bCs/>
                <w:color w:val="000000"/>
              </w:rPr>
              <w:t>(Euro/person)</w:t>
            </w:r>
          </w:p>
        </w:tc>
        <w:tc>
          <w:tcPr>
            <w:tcW w:w="2706" w:type="dxa"/>
            <w:tcBorders>
              <w:top w:val="single" w:sz="4" w:space="0" w:color="auto"/>
              <w:left w:val="nil"/>
              <w:bottom w:val="single" w:sz="4" w:space="0" w:color="auto"/>
              <w:right w:val="nil"/>
            </w:tcBorders>
            <w:vAlign w:val="center"/>
          </w:tcPr>
          <w:p w14:paraId="21AFBCD4" w14:textId="77777777" w:rsidR="00425686" w:rsidRPr="00A3394C" w:rsidRDefault="00425686" w:rsidP="0070707D">
            <w:pPr>
              <w:jc w:val="center"/>
              <w:rPr>
                <w:b/>
                <w:bCs/>
                <w:color w:val="000000"/>
              </w:rPr>
            </w:pPr>
            <w:r w:rsidRPr="00A3394C">
              <w:rPr>
                <w:b/>
                <w:bCs/>
                <w:color w:val="000000"/>
              </w:rPr>
              <w:t>Annual GDP Change</w:t>
            </w:r>
          </w:p>
          <w:p w14:paraId="6DEBCC22" w14:textId="77777777" w:rsidR="00425686" w:rsidRPr="00A3394C" w:rsidRDefault="00425686" w:rsidP="0070707D">
            <w:pPr>
              <w:jc w:val="center"/>
              <w:rPr>
                <w:b/>
                <w:bCs/>
                <w:color w:val="000000"/>
              </w:rPr>
            </w:pPr>
            <w:r w:rsidRPr="00A3394C">
              <w:rPr>
                <w:b/>
                <w:bCs/>
                <w:color w:val="000000"/>
              </w:rPr>
              <w:t>(Euro/person)</w:t>
            </w:r>
          </w:p>
        </w:tc>
        <w:tc>
          <w:tcPr>
            <w:tcW w:w="2448" w:type="dxa"/>
            <w:tcBorders>
              <w:top w:val="single" w:sz="4" w:space="0" w:color="auto"/>
              <w:left w:val="nil"/>
              <w:bottom w:val="single" w:sz="4" w:space="0" w:color="auto"/>
              <w:right w:val="nil"/>
            </w:tcBorders>
            <w:vAlign w:val="center"/>
          </w:tcPr>
          <w:p w14:paraId="0A031A42" w14:textId="77777777" w:rsidR="00425686" w:rsidRPr="00A3394C" w:rsidRDefault="00425686" w:rsidP="0070707D">
            <w:pPr>
              <w:jc w:val="center"/>
              <w:rPr>
                <w:b/>
                <w:bCs/>
                <w:color w:val="000000"/>
              </w:rPr>
            </w:pPr>
            <w:r w:rsidRPr="00A3394C">
              <w:rPr>
                <w:b/>
                <w:bCs/>
                <w:color w:val="000000"/>
              </w:rPr>
              <w:t>Growth Rate</w:t>
            </w:r>
          </w:p>
          <w:p w14:paraId="34130AA7" w14:textId="77777777" w:rsidR="00425686" w:rsidRPr="00A3394C" w:rsidRDefault="00425686" w:rsidP="0070707D">
            <w:pPr>
              <w:jc w:val="center"/>
              <w:rPr>
                <w:b/>
                <w:bCs/>
                <w:color w:val="000000"/>
              </w:rPr>
            </w:pPr>
            <w:r w:rsidRPr="00A3394C">
              <w:rPr>
                <w:b/>
                <w:bCs/>
                <w:color w:val="000000"/>
              </w:rPr>
              <w:t>(-)</w:t>
            </w:r>
          </w:p>
        </w:tc>
      </w:tr>
      <w:tr w:rsidR="00425686" w:rsidRPr="00A3394C" w14:paraId="43ED3732" w14:textId="77777777" w:rsidTr="0070707D">
        <w:trPr>
          <w:trHeight w:val="320"/>
        </w:trPr>
        <w:tc>
          <w:tcPr>
            <w:tcW w:w="1180" w:type="dxa"/>
            <w:tcBorders>
              <w:top w:val="nil"/>
              <w:left w:val="nil"/>
              <w:bottom w:val="nil"/>
              <w:right w:val="nil"/>
            </w:tcBorders>
            <w:shd w:val="clear" w:color="auto" w:fill="auto"/>
            <w:noWrap/>
            <w:vAlign w:val="center"/>
            <w:hideMark/>
          </w:tcPr>
          <w:p w14:paraId="7CB43B33" w14:textId="77777777" w:rsidR="00425686" w:rsidRPr="00A3394C" w:rsidRDefault="00425686" w:rsidP="0070707D">
            <w:pPr>
              <w:jc w:val="center"/>
              <w:rPr>
                <w:color w:val="000000"/>
              </w:rPr>
            </w:pPr>
            <w:r w:rsidRPr="00A3394C">
              <w:rPr>
                <w:color w:val="000000"/>
              </w:rPr>
              <w:t>2020</w:t>
            </w:r>
          </w:p>
        </w:tc>
        <w:tc>
          <w:tcPr>
            <w:tcW w:w="2080" w:type="dxa"/>
            <w:tcBorders>
              <w:top w:val="nil"/>
              <w:left w:val="nil"/>
              <w:bottom w:val="nil"/>
              <w:right w:val="nil"/>
            </w:tcBorders>
            <w:shd w:val="clear" w:color="auto" w:fill="auto"/>
            <w:noWrap/>
            <w:vAlign w:val="center"/>
            <w:hideMark/>
          </w:tcPr>
          <w:p w14:paraId="29500E1D" w14:textId="77777777" w:rsidR="00425686" w:rsidRPr="00A3394C" w:rsidRDefault="00425686" w:rsidP="0070707D">
            <w:pPr>
              <w:jc w:val="center"/>
              <w:rPr>
                <w:color w:val="000000"/>
              </w:rPr>
            </w:pPr>
            <w:r w:rsidRPr="00A3394C">
              <w:rPr>
                <w:color w:val="000000"/>
              </w:rPr>
              <w:t>26 790</w:t>
            </w:r>
          </w:p>
        </w:tc>
        <w:tc>
          <w:tcPr>
            <w:tcW w:w="2706" w:type="dxa"/>
            <w:tcBorders>
              <w:top w:val="nil"/>
              <w:left w:val="nil"/>
              <w:bottom w:val="nil"/>
              <w:right w:val="nil"/>
            </w:tcBorders>
            <w:vAlign w:val="center"/>
          </w:tcPr>
          <w:p w14:paraId="7F3A284D" w14:textId="77777777" w:rsidR="00425686" w:rsidRPr="00A3394C" w:rsidRDefault="00425686" w:rsidP="0070707D">
            <w:pPr>
              <w:jc w:val="center"/>
              <w:rPr>
                <w:color w:val="000000"/>
              </w:rPr>
            </w:pPr>
            <w:r w:rsidRPr="00A3394C">
              <w:rPr>
                <w:color w:val="000000"/>
              </w:rPr>
              <w:t>---</w:t>
            </w:r>
          </w:p>
        </w:tc>
        <w:tc>
          <w:tcPr>
            <w:tcW w:w="2448" w:type="dxa"/>
            <w:tcBorders>
              <w:top w:val="nil"/>
              <w:left w:val="nil"/>
              <w:bottom w:val="nil"/>
              <w:right w:val="nil"/>
            </w:tcBorders>
            <w:vAlign w:val="center"/>
          </w:tcPr>
          <w:p w14:paraId="752913E5" w14:textId="77777777" w:rsidR="00425686" w:rsidRPr="00A3394C" w:rsidRDefault="00425686" w:rsidP="0070707D">
            <w:pPr>
              <w:jc w:val="center"/>
              <w:rPr>
                <w:color w:val="000000"/>
              </w:rPr>
            </w:pPr>
            <w:r w:rsidRPr="00A3394C">
              <w:rPr>
                <w:color w:val="000000"/>
              </w:rPr>
              <w:t>---</w:t>
            </w:r>
          </w:p>
        </w:tc>
      </w:tr>
      <w:tr w:rsidR="00425686" w:rsidRPr="00A3394C" w14:paraId="4BD5B31A" w14:textId="77777777" w:rsidTr="0070707D">
        <w:trPr>
          <w:trHeight w:val="320"/>
        </w:trPr>
        <w:tc>
          <w:tcPr>
            <w:tcW w:w="1180" w:type="dxa"/>
            <w:tcBorders>
              <w:top w:val="nil"/>
              <w:left w:val="nil"/>
              <w:bottom w:val="nil"/>
              <w:right w:val="nil"/>
            </w:tcBorders>
            <w:shd w:val="clear" w:color="auto" w:fill="auto"/>
            <w:noWrap/>
            <w:vAlign w:val="center"/>
            <w:hideMark/>
          </w:tcPr>
          <w:p w14:paraId="7E6B4E81" w14:textId="77777777" w:rsidR="00425686" w:rsidRPr="00A3394C" w:rsidRDefault="00425686" w:rsidP="0070707D">
            <w:pPr>
              <w:jc w:val="center"/>
              <w:rPr>
                <w:color w:val="000000"/>
              </w:rPr>
            </w:pPr>
            <w:r w:rsidRPr="00A3394C">
              <w:rPr>
                <w:color w:val="000000"/>
              </w:rPr>
              <w:t>2021</w:t>
            </w:r>
          </w:p>
        </w:tc>
        <w:tc>
          <w:tcPr>
            <w:tcW w:w="2080" w:type="dxa"/>
            <w:tcBorders>
              <w:top w:val="nil"/>
              <w:left w:val="nil"/>
              <w:bottom w:val="nil"/>
              <w:right w:val="nil"/>
            </w:tcBorders>
            <w:shd w:val="clear" w:color="auto" w:fill="auto"/>
            <w:noWrap/>
            <w:vAlign w:val="center"/>
            <w:hideMark/>
          </w:tcPr>
          <w:p w14:paraId="75AFA6CB" w14:textId="77777777" w:rsidR="00425686" w:rsidRPr="00A3394C" w:rsidRDefault="00425686" w:rsidP="0070707D">
            <w:pPr>
              <w:jc w:val="center"/>
              <w:rPr>
                <w:color w:val="000000"/>
              </w:rPr>
            </w:pPr>
            <w:r w:rsidRPr="00A3394C">
              <w:rPr>
                <w:color w:val="000000"/>
              </w:rPr>
              <w:t>28 490</w:t>
            </w:r>
          </w:p>
        </w:tc>
        <w:tc>
          <w:tcPr>
            <w:tcW w:w="2706" w:type="dxa"/>
            <w:tcBorders>
              <w:top w:val="nil"/>
              <w:left w:val="nil"/>
              <w:bottom w:val="nil"/>
              <w:right w:val="nil"/>
            </w:tcBorders>
            <w:vAlign w:val="center"/>
          </w:tcPr>
          <w:p w14:paraId="6E9EA45E" w14:textId="77777777" w:rsidR="00425686" w:rsidRPr="00A3394C" w:rsidRDefault="00425686" w:rsidP="0070707D">
            <w:pPr>
              <w:jc w:val="center"/>
              <w:rPr>
                <w:color w:val="000000"/>
              </w:rPr>
            </w:pPr>
            <w:r w:rsidRPr="00A3394C">
              <w:rPr>
                <w:color w:val="000000"/>
              </w:rPr>
              <w:t>1 700</w:t>
            </w:r>
          </w:p>
        </w:tc>
        <w:tc>
          <w:tcPr>
            <w:tcW w:w="2448" w:type="dxa"/>
            <w:tcBorders>
              <w:top w:val="nil"/>
              <w:left w:val="nil"/>
              <w:bottom w:val="nil"/>
              <w:right w:val="nil"/>
            </w:tcBorders>
            <w:vAlign w:val="center"/>
          </w:tcPr>
          <w:p w14:paraId="57149645" w14:textId="77777777" w:rsidR="00425686" w:rsidRPr="00A3394C" w:rsidRDefault="00000000" w:rsidP="0070707D">
            <w:pPr>
              <w:spacing w:before="60" w:after="60"/>
              <w:jc w:val="center"/>
              <w:rPr>
                <w:color w:val="000000"/>
              </w:rPr>
            </w:pPr>
            <m:oMath>
              <m:f>
                <m:fPr>
                  <m:ctrlPr>
                    <w:rPr>
                      <w:rFonts w:ascii="Cambria Math" w:hAnsi="Cambria Math"/>
                      <w:i/>
                      <w:color w:val="000000"/>
                    </w:rPr>
                  </m:ctrlPr>
                </m:fPr>
                <m:num>
                  <m:r>
                    <w:rPr>
                      <w:rFonts w:ascii="Cambria Math" w:hAnsi="Cambria Math"/>
                      <w:color w:val="000000"/>
                    </w:rPr>
                    <m:t>28 490</m:t>
                  </m:r>
                </m:num>
                <m:den>
                  <m:r>
                    <w:rPr>
                      <w:rFonts w:ascii="Cambria Math" w:hAnsi="Cambria Math"/>
                      <w:color w:val="000000"/>
                    </w:rPr>
                    <m:t>26 790</m:t>
                  </m:r>
                </m:den>
              </m:f>
              <m:r>
                <w:rPr>
                  <w:rFonts w:ascii="Cambria Math" w:hAnsi="Cambria Math"/>
                  <w:color w:val="000000"/>
                </w:rPr>
                <m:t xml:space="preserve"> ≈</m:t>
              </m:r>
              <m:r>
                <w:rPr>
                  <w:rFonts w:ascii="Cambria Math" w:eastAsiaTheme="minorEastAsia" w:hAnsi="Cambria Math"/>
                  <w:kern w:val="2"/>
                  <w:lang w:eastAsia="en-US"/>
                  <w14:ligatures w14:val="standardContextual"/>
                </w:rPr>
                <m:t xml:space="preserve"> 1.063</m:t>
              </m:r>
            </m:oMath>
            <w:r w:rsidR="00425686" w:rsidRPr="00A3394C">
              <w:rPr>
                <w:kern w:val="2"/>
                <w:lang w:eastAsia="en-US"/>
                <w14:ligatures w14:val="standardContextual"/>
              </w:rPr>
              <w:t xml:space="preserve"> </w:t>
            </w:r>
          </w:p>
        </w:tc>
      </w:tr>
      <w:tr w:rsidR="00425686" w:rsidRPr="00A3394C" w14:paraId="1EAFE48D" w14:textId="77777777" w:rsidTr="0070707D">
        <w:trPr>
          <w:trHeight w:val="320"/>
        </w:trPr>
        <w:tc>
          <w:tcPr>
            <w:tcW w:w="1180" w:type="dxa"/>
            <w:tcBorders>
              <w:top w:val="nil"/>
              <w:left w:val="nil"/>
              <w:bottom w:val="nil"/>
              <w:right w:val="nil"/>
            </w:tcBorders>
            <w:shd w:val="clear" w:color="auto" w:fill="auto"/>
            <w:noWrap/>
            <w:vAlign w:val="center"/>
            <w:hideMark/>
          </w:tcPr>
          <w:p w14:paraId="6044C4B6" w14:textId="77777777" w:rsidR="00425686" w:rsidRPr="00A3394C" w:rsidRDefault="00425686" w:rsidP="0070707D">
            <w:pPr>
              <w:jc w:val="center"/>
              <w:rPr>
                <w:color w:val="000000"/>
              </w:rPr>
            </w:pPr>
            <w:r w:rsidRPr="00A3394C">
              <w:rPr>
                <w:color w:val="000000"/>
              </w:rPr>
              <w:t>2022</w:t>
            </w:r>
          </w:p>
        </w:tc>
        <w:tc>
          <w:tcPr>
            <w:tcW w:w="2080" w:type="dxa"/>
            <w:tcBorders>
              <w:top w:val="nil"/>
              <w:left w:val="nil"/>
              <w:bottom w:val="nil"/>
              <w:right w:val="nil"/>
            </w:tcBorders>
            <w:shd w:val="clear" w:color="auto" w:fill="auto"/>
            <w:noWrap/>
            <w:vAlign w:val="center"/>
            <w:hideMark/>
          </w:tcPr>
          <w:p w14:paraId="493B52E8" w14:textId="77777777" w:rsidR="00425686" w:rsidRPr="00A3394C" w:rsidRDefault="00425686" w:rsidP="0070707D">
            <w:pPr>
              <w:jc w:val="center"/>
              <w:rPr>
                <w:color w:val="000000"/>
              </w:rPr>
            </w:pPr>
            <w:r w:rsidRPr="00A3394C">
              <w:rPr>
                <w:color w:val="000000"/>
              </w:rPr>
              <w:t>29 300</w:t>
            </w:r>
          </w:p>
        </w:tc>
        <w:tc>
          <w:tcPr>
            <w:tcW w:w="2706" w:type="dxa"/>
            <w:tcBorders>
              <w:top w:val="nil"/>
              <w:left w:val="nil"/>
              <w:bottom w:val="nil"/>
              <w:right w:val="nil"/>
            </w:tcBorders>
            <w:vAlign w:val="center"/>
          </w:tcPr>
          <w:p w14:paraId="03E8717E" w14:textId="77777777" w:rsidR="00425686" w:rsidRPr="00A3394C" w:rsidRDefault="00425686" w:rsidP="0070707D">
            <w:pPr>
              <w:jc w:val="center"/>
              <w:rPr>
                <w:color w:val="000000"/>
              </w:rPr>
            </w:pPr>
            <w:r w:rsidRPr="00A3394C">
              <w:rPr>
                <w:color w:val="000000"/>
              </w:rPr>
              <w:t>810</w:t>
            </w:r>
          </w:p>
        </w:tc>
        <w:tc>
          <w:tcPr>
            <w:tcW w:w="2448" w:type="dxa"/>
            <w:tcBorders>
              <w:top w:val="nil"/>
              <w:left w:val="nil"/>
              <w:bottom w:val="nil"/>
              <w:right w:val="nil"/>
            </w:tcBorders>
            <w:vAlign w:val="center"/>
          </w:tcPr>
          <w:p w14:paraId="07568EC6" w14:textId="77777777" w:rsidR="00425686" w:rsidRPr="00A3394C" w:rsidRDefault="00000000" w:rsidP="0070707D">
            <w:pPr>
              <w:spacing w:before="60" w:after="60"/>
              <w:jc w:val="center"/>
              <w:rPr>
                <w:color w:val="000000"/>
              </w:rPr>
            </w:pPr>
            <m:oMath>
              <m:f>
                <m:fPr>
                  <m:ctrlPr>
                    <w:rPr>
                      <w:rFonts w:ascii="Cambria Math" w:hAnsi="Cambria Math"/>
                      <w:i/>
                      <w:color w:val="000000"/>
                    </w:rPr>
                  </m:ctrlPr>
                </m:fPr>
                <m:num>
                  <m:r>
                    <w:rPr>
                      <w:rFonts w:ascii="Cambria Math" w:hAnsi="Cambria Math"/>
                      <w:color w:val="000000"/>
                    </w:rPr>
                    <m:t>29 300</m:t>
                  </m:r>
                </m:num>
                <m:den>
                  <m:r>
                    <w:rPr>
                      <w:rFonts w:ascii="Cambria Math" w:hAnsi="Cambria Math"/>
                      <w:color w:val="000000"/>
                    </w:rPr>
                    <m:t>28 490</m:t>
                  </m:r>
                </m:den>
              </m:f>
              <m:r>
                <w:rPr>
                  <w:rFonts w:ascii="Cambria Math" w:hAnsi="Cambria Math"/>
                  <w:color w:val="000000"/>
                </w:rPr>
                <m:t xml:space="preserve"> ≈</m:t>
              </m:r>
            </m:oMath>
            <w:r w:rsidR="00425686" w:rsidRPr="00A3394C">
              <w:rPr>
                <w:kern w:val="2"/>
                <w:lang w:eastAsia="en-US"/>
                <w14:ligatures w14:val="standardContextual"/>
              </w:rPr>
              <w:t xml:space="preserve"> 1.028</w:t>
            </w:r>
          </w:p>
        </w:tc>
      </w:tr>
      <w:tr w:rsidR="00425686" w:rsidRPr="00A3394C" w14:paraId="1149B857" w14:textId="77777777" w:rsidTr="0070707D">
        <w:trPr>
          <w:trHeight w:val="320"/>
        </w:trPr>
        <w:tc>
          <w:tcPr>
            <w:tcW w:w="1180" w:type="dxa"/>
            <w:tcBorders>
              <w:top w:val="nil"/>
              <w:left w:val="nil"/>
              <w:bottom w:val="single" w:sz="4" w:space="0" w:color="auto"/>
              <w:right w:val="nil"/>
            </w:tcBorders>
            <w:shd w:val="clear" w:color="auto" w:fill="auto"/>
            <w:noWrap/>
            <w:vAlign w:val="center"/>
            <w:hideMark/>
          </w:tcPr>
          <w:p w14:paraId="5CDFA58D" w14:textId="77777777" w:rsidR="00425686" w:rsidRPr="00A3394C" w:rsidRDefault="00425686" w:rsidP="0070707D">
            <w:pPr>
              <w:jc w:val="center"/>
              <w:rPr>
                <w:color w:val="000000"/>
              </w:rPr>
            </w:pPr>
            <w:r w:rsidRPr="00A3394C">
              <w:rPr>
                <w:color w:val="000000"/>
              </w:rPr>
              <w:t>2023</w:t>
            </w:r>
          </w:p>
        </w:tc>
        <w:tc>
          <w:tcPr>
            <w:tcW w:w="2080" w:type="dxa"/>
            <w:tcBorders>
              <w:top w:val="nil"/>
              <w:left w:val="nil"/>
              <w:bottom w:val="single" w:sz="4" w:space="0" w:color="auto"/>
              <w:right w:val="nil"/>
            </w:tcBorders>
            <w:shd w:val="clear" w:color="auto" w:fill="auto"/>
            <w:noWrap/>
            <w:vAlign w:val="center"/>
            <w:hideMark/>
          </w:tcPr>
          <w:p w14:paraId="0ADEF222" w14:textId="77777777" w:rsidR="00425686" w:rsidRPr="00A3394C" w:rsidRDefault="00425686" w:rsidP="0070707D">
            <w:pPr>
              <w:jc w:val="center"/>
              <w:rPr>
                <w:color w:val="000000"/>
              </w:rPr>
            </w:pPr>
            <w:r w:rsidRPr="00A3394C">
              <w:rPr>
                <w:color w:val="000000"/>
              </w:rPr>
              <w:t>29 280</w:t>
            </w:r>
          </w:p>
        </w:tc>
        <w:tc>
          <w:tcPr>
            <w:tcW w:w="2706" w:type="dxa"/>
            <w:tcBorders>
              <w:top w:val="nil"/>
              <w:left w:val="nil"/>
              <w:bottom w:val="single" w:sz="4" w:space="0" w:color="auto"/>
              <w:right w:val="nil"/>
            </w:tcBorders>
            <w:vAlign w:val="center"/>
          </w:tcPr>
          <w:p w14:paraId="25FBC903" w14:textId="77777777" w:rsidR="00425686" w:rsidRPr="00A3394C" w:rsidRDefault="00425686" w:rsidP="0070707D">
            <w:pPr>
              <w:jc w:val="center"/>
              <w:rPr>
                <w:color w:val="000000"/>
              </w:rPr>
            </w:pPr>
            <w:r w:rsidRPr="00A3394C">
              <w:rPr>
                <w:color w:val="000000"/>
              </w:rPr>
              <w:t>-20</w:t>
            </w:r>
          </w:p>
        </w:tc>
        <w:tc>
          <w:tcPr>
            <w:tcW w:w="2448" w:type="dxa"/>
            <w:tcBorders>
              <w:top w:val="nil"/>
              <w:left w:val="nil"/>
              <w:bottom w:val="single" w:sz="4" w:space="0" w:color="auto"/>
              <w:right w:val="nil"/>
            </w:tcBorders>
            <w:vAlign w:val="center"/>
          </w:tcPr>
          <w:p w14:paraId="475B3694" w14:textId="77777777" w:rsidR="00425686" w:rsidRPr="00A3394C" w:rsidRDefault="00000000" w:rsidP="0070707D">
            <w:pPr>
              <w:spacing w:before="60" w:after="60"/>
              <w:jc w:val="center"/>
              <w:rPr>
                <w:color w:val="000000"/>
              </w:rPr>
            </w:pPr>
            <m:oMath>
              <m:f>
                <m:fPr>
                  <m:ctrlPr>
                    <w:rPr>
                      <w:rFonts w:ascii="Cambria Math" w:hAnsi="Cambria Math"/>
                      <w:i/>
                      <w:color w:val="000000"/>
                    </w:rPr>
                  </m:ctrlPr>
                </m:fPr>
                <m:num>
                  <m:r>
                    <w:rPr>
                      <w:rFonts w:ascii="Cambria Math" w:hAnsi="Cambria Math"/>
                      <w:color w:val="000000"/>
                    </w:rPr>
                    <m:t>29 280</m:t>
                  </m:r>
                </m:num>
                <m:den>
                  <m:r>
                    <w:rPr>
                      <w:rFonts w:ascii="Cambria Math" w:hAnsi="Cambria Math"/>
                      <w:color w:val="000000"/>
                    </w:rPr>
                    <m:t>29 300</m:t>
                  </m:r>
                </m:den>
              </m:f>
              <m:r>
                <w:rPr>
                  <w:rFonts w:ascii="Cambria Math" w:hAnsi="Cambria Math"/>
                  <w:color w:val="000000"/>
                </w:rPr>
                <m:t xml:space="preserve"> ≈</m:t>
              </m:r>
            </m:oMath>
            <w:r w:rsidR="00425686" w:rsidRPr="00A3394C">
              <w:rPr>
                <w:kern w:val="2"/>
                <w:lang w:eastAsia="en-US"/>
                <w14:ligatures w14:val="standardContextual"/>
              </w:rPr>
              <w:t xml:space="preserve"> 0.999</w:t>
            </w:r>
          </w:p>
        </w:tc>
      </w:tr>
      <w:tr w:rsidR="00425686" w:rsidRPr="00A3394C" w14:paraId="125F701D" w14:textId="77777777" w:rsidTr="0070707D">
        <w:trPr>
          <w:trHeight w:val="300"/>
        </w:trPr>
        <w:tc>
          <w:tcPr>
            <w:tcW w:w="1180" w:type="dxa"/>
            <w:tcBorders>
              <w:top w:val="nil"/>
              <w:left w:val="nil"/>
              <w:bottom w:val="single" w:sz="4" w:space="0" w:color="auto"/>
              <w:right w:val="nil"/>
            </w:tcBorders>
            <w:shd w:val="clear" w:color="auto" w:fill="auto"/>
            <w:noWrap/>
            <w:vAlign w:val="center"/>
            <w:hideMark/>
          </w:tcPr>
          <w:p w14:paraId="54319CA6" w14:textId="77777777" w:rsidR="00425686" w:rsidRPr="00A3394C" w:rsidRDefault="00425686" w:rsidP="0070707D">
            <w:pPr>
              <w:jc w:val="center"/>
              <w:rPr>
                <w:b/>
                <w:bCs/>
                <w:color w:val="000000"/>
              </w:rPr>
            </w:pPr>
            <w:r w:rsidRPr="00A3394C">
              <w:rPr>
                <w:b/>
                <w:bCs/>
                <w:color w:val="000000"/>
              </w:rPr>
              <w:t>Average</w:t>
            </w:r>
          </w:p>
        </w:tc>
        <w:tc>
          <w:tcPr>
            <w:tcW w:w="2080" w:type="dxa"/>
            <w:tcBorders>
              <w:top w:val="nil"/>
              <w:left w:val="nil"/>
              <w:bottom w:val="single" w:sz="4" w:space="0" w:color="auto"/>
              <w:right w:val="nil"/>
            </w:tcBorders>
            <w:shd w:val="clear" w:color="auto" w:fill="auto"/>
            <w:noWrap/>
            <w:vAlign w:val="center"/>
            <w:hideMark/>
          </w:tcPr>
          <w:p w14:paraId="0E536B3E" w14:textId="77777777" w:rsidR="00425686" w:rsidRPr="00A3394C" w:rsidRDefault="00425686" w:rsidP="0070707D">
            <w:pPr>
              <w:jc w:val="center"/>
              <w:rPr>
                <w:b/>
                <w:bCs/>
                <w:color w:val="000000"/>
              </w:rPr>
            </w:pPr>
            <w:r w:rsidRPr="00A3394C">
              <w:rPr>
                <w:b/>
                <w:bCs/>
                <w:color w:val="000000"/>
              </w:rPr>
              <w:t>28 465</w:t>
            </w:r>
          </w:p>
        </w:tc>
        <w:tc>
          <w:tcPr>
            <w:tcW w:w="2706" w:type="dxa"/>
            <w:tcBorders>
              <w:top w:val="nil"/>
              <w:left w:val="nil"/>
              <w:bottom w:val="single" w:sz="4" w:space="0" w:color="auto"/>
              <w:right w:val="nil"/>
            </w:tcBorders>
            <w:vAlign w:val="center"/>
          </w:tcPr>
          <w:p w14:paraId="3145E252" w14:textId="77777777" w:rsidR="00425686" w:rsidRPr="00A3394C" w:rsidRDefault="00425686" w:rsidP="0070707D">
            <w:pPr>
              <w:jc w:val="center"/>
              <w:rPr>
                <w:b/>
                <w:bCs/>
                <w:color w:val="000000"/>
              </w:rPr>
            </w:pPr>
            <w:r w:rsidRPr="00A3394C">
              <w:rPr>
                <w:b/>
                <w:bCs/>
                <w:color w:val="000000"/>
              </w:rPr>
              <w:t>830</w:t>
            </w:r>
          </w:p>
        </w:tc>
        <w:tc>
          <w:tcPr>
            <w:tcW w:w="2448" w:type="dxa"/>
            <w:tcBorders>
              <w:top w:val="nil"/>
              <w:left w:val="nil"/>
              <w:bottom w:val="single" w:sz="4" w:space="0" w:color="auto"/>
              <w:right w:val="nil"/>
            </w:tcBorders>
            <w:vAlign w:val="center"/>
          </w:tcPr>
          <w:p w14:paraId="6108317D" w14:textId="77777777" w:rsidR="00425686" w:rsidRPr="00A3394C" w:rsidRDefault="00425686" w:rsidP="0070707D">
            <w:pPr>
              <w:jc w:val="center"/>
              <w:rPr>
                <w:b/>
                <w:bCs/>
                <w:color w:val="000000"/>
              </w:rPr>
            </w:pPr>
          </w:p>
        </w:tc>
      </w:tr>
    </w:tbl>
    <w:p w14:paraId="725CCAFE" w14:textId="77777777" w:rsidR="00425686" w:rsidRPr="00A3394C" w:rsidRDefault="00425686" w:rsidP="00425686">
      <w:pPr>
        <w:ind w:left="357"/>
        <w:jc w:val="both"/>
      </w:pPr>
    </w:p>
    <w:p w14:paraId="6915875D" w14:textId="77777777" w:rsidR="00425686" w:rsidRPr="00E17BAF" w:rsidRDefault="00425686" w:rsidP="00425686">
      <w:pPr>
        <w:pStyle w:val="Odstavecseseznamem"/>
        <w:numPr>
          <w:ilvl w:val="0"/>
          <w:numId w:val="8"/>
        </w:numPr>
        <w:jc w:val="both"/>
      </w:pPr>
      <w:r w:rsidRPr="00E17BAF">
        <w:t xml:space="preserve">  In 2021, the GDP in the European Union increased approximately 1.063 times, meaning a 6.3% annual growth.</w:t>
      </w:r>
    </w:p>
    <w:p w14:paraId="79F6F25E" w14:textId="77777777" w:rsidR="00425686" w:rsidRPr="00E17BAF" w:rsidRDefault="00425686" w:rsidP="00425686">
      <w:pPr>
        <w:pStyle w:val="Odstavecseseznamem"/>
        <w:numPr>
          <w:ilvl w:val="0"/>
          <w:numId w:val="8"/>
        </w:numPr>
        <w:jc w:val="both"/>
      </w:pPr>
      <w:r w:rsidRPr="00E17BAF">
        <w:t xml:space="preserve">  In 2022, the GDP increased approximately 1.028 times, meaning a 2.8% annual growth.</w:t>
      </w:r>
    </w:p>
    <w:p w14:paraId="11BCFC75" w14:textId="77777777" w:rsidR="00425686" w:rsidRPr="00A3394C" w:rsidRDefault="00425686" w:rsidP="00425686">
      <w:pPr>
        <w:pStyle w:val="Odstavecseseznamem"/>
        <w:numPr>
          <w:ilvl w:val="0"/>
          <w:numId w:val="8"/>
        </w:numPr>
        <w:jc w:val="both"/>
      </w:pPr>
      <w:r w:rsidRPr="00A3394C">
        <w:t xml:space="preserve">  In 2023, the GDP increased approximately 0.999 times, indicating a 0.1% annual decrease.</w:t>
      </w:r>
    </w:p>
    <w:p w14:paraId="79A65F43" w14:textId="77777777" w:rsidR="00425686" w:rsidRPr="00A3394C" w:rsidRDefault="00425686" w:rsidP="009E6455">
      <w:pPr>
        <w:jc w:val="both"/>
      </w:pPr>
    </w:p>
    <w:p w14:paraId="14C8D5CE" w14:textId="2E5E8C10" w:rsidR="00425686" w:rsidRPr="00A3394C" w:rsidRDefault="00425686" w:rsidP="0037741A">
      <w:pPr>
        <w:ind w:left="360"/>
        <w:jc w:val="both"/>
      </w:pPr>
      <w:r w:rsidRPr="00A3394C">
        <w:t>Now, we can determine the average annual GDP growth rate using equation (5), either by computing the geometric mean of the individual annual growth rates or by using only the initial and final values of the analyzed time series:</w:t>
      </w:r>
    </w:p>
    <w:p w14:paraId="0DECC679" w14:textId="77777777" w:rsidR="00425686" w:rsidRPr="00A3394C" w:rsidRDefault="00425686" w:rsidP="00425686">
      <w:pPr>
        <w:ind w:left="360"/>
        <w:jc w:val="center"/>
        <w:rPr>
          <w:kern w:val="2"/>
          <w:lang w:eastAsia="en-US"/>
          <w14:ligatures w14:val="standardContextual"/>
        </w:rPr>
      </w:pPr>
    </w:p>
    <w:p w14:paraId="4F86B951" w14:textId="77777777" w:rsidR="00425686" w:rsidRPr="00A3394C" w:rsidRDefault="00000000" w:rsidP="00425686">
      <w:pPr>
        <w:ind w:left="360"/>
        <w:jc w:val="center"/>
      </w:pPr>
      <m:oMath>
        <m:acc>
          <m:accPr>
            <m:chr m:val="̅"/>
            <m:ctrlPr>
              <w:rPr>
                <w:rFonts w:ascii="Cambria Math" w:hAnsi="Cambria Math"/>
                <w:i/>
              </w:rPr>
            </m:ctrlPr>
          </m:accPr>
          <m:e>
            <m:r>
              <w:rPr>
                <w:rFonts w:ascii="Cambria Math" w:hAnsi="Cambria Math"/>
              </w:rPr>
              <m:t>k</m:t>
            </m:r>
          </m:e>
        </m:acc>
        <m:r>
          <w:rPr>
            <w:rFonts w:ascii="Cambria Math" w:eastAsiaTheme="minorEastAsia" w:hAnsi="Cambria Math"/>
            <w:kern w:val="2"/>
            <w:lang w:eastAsia="en-US"/>
            <w14:ligatures w14:val="standardContextual"/>
          </w:rPr>
          <m:t>=</m:t>
        </m:r>
        <m:r>
          <w:rPr>
            <w:rFonts w:ascii="Cambria Math" w:hAnsi="Cambria Math"/>
          </w:rPr>
          <m:t xml:space="preserve"> </m:t>
        </m:r>
        <m:rad>
          <m:radPr>
            <m:ctrlPr>
              <w:rPr>
                <w:rFonts w:ascii="Cambria Math" w:hAnsi="Cambria Math"/>
                <w:i/>
                <w:lang w:eastAsia="en-US"/>
              </w:rPr>
            </m:ctrlPr>
          </m:radPr>
          <m:deg>
            <m:r>
              <w:rPr>
                <w:rFonts w:ascii="Cambria Math" w:hAnsi="Cambria Math"/>
              </w:rPr>
              <m:t>n-1</m:t>
            </m:r>
          </m:deg>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color w:val="000000"/>
              </w:rPr>
              <m:t>1.063</m:t>
            </m:r>
            <m:r>
              <w:rPr>
                <w:rFonts w:ascii="Cambria Math" w:eastAsiaTheme="minorEastAsia" w:hAnsi="Cambria Math"/>
                <w:kern w:val="2"/>
                <w:lang w:eastAsia="en-US"/>
                <w14:ligatures w14:val="standardContextual"/>
              </w:rPr>
              <m:t>∙</m:t>
            </m:r>
            <m:r>
              <w:rPr>
                <w:rFonts w:ascii="Cambria Math" w:hAnsi="Cambria Math"/>
                <w:color w:val="000000"/>
              </w:rPr>
              <m:t>1.028</m:t>
            </m:r>
            <m:r>
              <w:rPr>
                <w:rFonts w:ascii="Cambria Math" w:eastAsiaTheme="minorEastAsia" w:hAnsi="Cambria Math"/>
                <w:kern w:val="2"/>
                <w:lang w:eastAsia="en-US"/>
                <w14:ligatures w14:val="standardContextual"/>
              </w:rPr>
              <m:t>∙</m:t>
            </m:r>
            <m:r>
              <w:rPr>
                <w:rFonts w:ascii="Cambria Math" w:hAnsi="Cambria Math"/>
                <w:color w:val="000000"/>
              </w:rPr>
              <m:t>0.999</m:t>
            </m:r>
          </m:e>
        </m:rad>
        <m:r>
          <w:rPr>
            <w:rFonts w:ascii="Cambria Math" w:eastAsiaTheme="minorEastAsia" w:hAnsi="Cambria Math"/>
            <w:kern w:val="2"/>
            <w:lang w:eastAsia="en-US"/>
            <w14:ligatures w14:val="standardContextual"/>
          </w:rPr>
          <m:t>≈1.030</m:t>
        </m:r>
      </m:oMath>
      <w:r w:rsidR="00425686" w:rsidRPr="00A3394C">
        <w:t xml:space="preserve">   </w:t>
      </w:r>
    </w:p>
    <w:p w14:paraId="7E803C74" w14:textId="77777777" w:rsidR="00425686" w:rsidRPr="00A3394C" w:rsidRDefault="00425686" w:rsidP="00425686">
      <w:pPr>
        <w:ind w:left="360"/>
        <w:jc w:val="center"/>
      </w:pPr>
    </w:p>
    <w:p w14:paraId="37BC798C" w14:textId="44A99056" w:rsidR="00425686" w:rsidRPr="00A3394C" w:rsidRDefault="00425686" w:rsidP="0037741A">
      <w:pPr>
        <w:ind w:left="360"/>
      </w:pPr>
      <w:r w:rsidRPr="00A3394C">
        <w:t xml:space="preserve"> or   </w:t>
      </w:r>
    </w:p>
    <w:p w14:paraId="6CCAF4A1" w14:textId="29FA7976" w:rsidR="00425686" w:rsidRPr="0037741A" w:rsidRDefault="00425686" w:rsidP="0037741A">
      <w:pPr>
        <w:ind w:left="360"/>
        <w:jc w:val="center"/>
        <w:rPr>
          <w:kern w:val="2"/>
          <w:lang w:eastAsia="en-US"/>
          <w14:ligatures w14:val="standardContextual"/>
        </w:rPr>
      </w:pPr>
      <w:r w:rsidRPr="00A3394C">
        <w:t xml:space="preserve"> </w:t>
      </w:r>
      <m:oMath>
        <m:acc>
          <m:accPr>
            <m:chr m:val="̅"/>
            <m:ctrlPr>
              <w:rPr>
                <w:rFonts w:ascii="Cambria Math" w:hAnsi="Cambria Math"/>
                <w:i/>
              </w:rPr>
            </m:ctrlPr>
          </m:accPr>
          <m:e>
            <m:r>
              <w:rPr>
                <w:rFonts w:ascii="Cambria Math" w:hAnsi="Cambria Math"/>
              </w:rPr>
              <m:t>k</m:t>
            </m:r>
          </m:e>
        </m:acc>
        <m:r>
          <w:rPr>
            <w:rFonts w:ascii="Cambria Math" w:hAnsi="Cambria Math"/>
          </w:rPr>
          <m:t xml:space="preserve">= </m:t>
        </m:r>
        <m:rad>
          <m:radPr>
            <m:ctrlPr>
              <w:rPr>
                <w:rFonts w:ascii="Cambria Math" w:hAnsi="Cambria Math"/>
                <w:i/>
                <w:lang w:eastAsia="en-US"/>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4</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rad>
        <m:r>
          <w:rPr>
            <w:rFonts w:ascii="Cambria Math" w:hAnsi="Cambria Math"/>
          </w:rPr>
          <m:t xml:space="preserve">= </m:t>
        </m:r>
        <m:rad>
          <m:radPr>
            <m:ctrlPr>
              <w:rPr>
                <w:rFonts w:ascii="Cambria Math" w:hAnsi="Cambria Math"/>
                <w:i/>
              </w:rPr>
            </m:ctrlPr>
          </m:radPr>
          <m:deg>
            <m:r>
              <w:rPr>
                <w:rFonts w:ascii="Cambria Math" w:hAnsi="Cambria Math"/>
              </w:rPr>
              <m:t>3</m:t>
            </m:r>
          </m:deg>
          <m:e>
            <m:f>
              <m:fPr>
                <m:ctrlPr>
                  <w:rPr>
                    <w:rFonts w:ascii="Cambria Math" w:hAnsi="Cambria Math"/>
                    <w:i/>
                    <w:color w:val="000000"/>
                  </w:rPr>
                </m:ctrlPr>
              </m:fPr>
              <m:num>
                <m:r>
                  <w:rPr>
                    <w:rFonts w:ascii="Cambria Math" w:hAnsi="Cambria Math"/>
                    <w:color w:val="000000"/>
                  </w:rPr>
                  <m:t>29 280</m:t>
                </m:r>
              </m:num>
              <m:den>
                <m:r>
                  <w:rPr>
                    <w:rFonts w:ascii="Cambria Math" w:hAnsi="Cambria Math"/>
                    <w:color w:val="000000"/>
                  </w:rPr>
                  <m:t>26 790</m:t>
                </m:r>
              </m:den>
            </m:f>
          </m:e>
        </m:rad>
        <m:r>
          <w:rPr>
            <w:rFonts w:ascii="Cambria Math" w:eastAsiaTheme="minorEastAsia" w:hAnsi="Cambria Math"/>
            <w:kern w:val="2"/>
            <w:lang w:eastAsia="en-US"/>
            <w14:ligatures w14:val="standardContextual"/>
          </w:rPr>
          <m:t>≈1.030</m:t>
        </m:r>
      </m:oMath>
      <w:r w:rsidR="0037741A">
        <w:rPr>
          <w:kern w:val="2"/>
          <w:lang w:eastAsia="en-US"/>
          <w14:ligatures w14:val="standardContextual"/>
        </w:rPr>
        <w:t>.</w:t>
      </w:r>
    </w:p>
    <w:p w14:paraId="4117AC57" w14:textId="77777777" w:rsidR="00425686" w:rsidRPr="00A3394C" w:rsidRDefault="00425686" w:rsidP="00425686">
      <w:pPr>
        <w:ind w:left="360"/>
        <w:jc w:val="both"/>
      </w:pPr>
    </w:p>
    <w:p w14:paraId="443B5627" w14:textId="77777777" w:rsidR="00425686" w:rsidRPr="00A3394C" w:rsidRDefault="00425686" w:rsidP="00425686">
      <w:pPr>
        <w:ind w:left="360"/>
        <w:jc w:val="both"/>
      </w:pPr>
      <w:r w:rsidRPr="00A3394C">
        <w:t>From 2020 to 2023, the average annual GDP growth rate (in euros per person) in the European Union was 1.030, meaning that GDP grew on average by 3.0% per year.</w:t>
      </w:r>
    </w:p>
    <w:p w14:paraId="77E64FAE" w14:textId="77777777" w:rsidR="00425686" w:rsidRPr="00A3394C" w:rsidRDefault="00425686" w:rsidP="00FC658E">
      <w:pPr>
        <w:jc w:val="both"/>
      </w:pPr>
    </w:p>
    <w:p w14:paraId="598BC703" w14:textId="77777777" w:rsidR="00425686" w:rsidRPr="00A3394C" w:rsidRDefault="00425686" w:rsidP="00425686">
      <w:pPr>
        <w:ind w:left="360"/>
        <w:jc w:val="both"/>
      </w:pPr>
      <w:r w:rsidRPr="00A3394C">
        <w:rPr>
          <w:b/>
          <w:bCs/>
        </w:rPr>
        <w:t>Note:</w:t>
      </w:r>
      <w:r w:rsidRPr="00A3394C">
        <w:t xml:space="preserve"> If we compute the average growth rate as the geometric mean of the individual growth coefficients in Table 2, we introduce rounding errors. Therefore, it is recommended to use only the initial and final values of the analyzed time series for this calculation.</w:t>
      </w:r>
    </w:p>
    <w:p w14:paraId="52F1D72F" w14:textId="77777777" w:rsidR="00425686" w:rsidRPr="00A3394C" w:rsidRDefault="00425686" w:rsidP="00FC658E">
      <w:pPr>
        <w:jc w:val="both"/>
        <w:rPr>
          <w:highlight w:val="yellow"/>
        </w:rPr>
      </w:pPr>
    </w:p>
    <w:p w14:paraId="22D8FC65" w14:textId="77777777" w:rsidR="00425686" w:rsidRPr="00A3394C" w:rsidRDefault="00425686" w:rsidP="00425686">
      <w:pPr>
        <w:ind w:left="360"/>
        <w:jc w:val="both"/>
        <w:rPr>
          <w:highlight w:val="yellow"/>
        </w:rPr>
      </w:pPr>
      <w:r w:rsidRPr="00A3394C">
        <w:rPr>
          <w:highlight w:val="yellow"/>
        </w:rPr>
        <w:t>The average growth rate can also be interpreted as follows: If the GDP had increased by exactly 1.030 times each year from the initial value in 2020, the GDP in 2023 would have reached the observed final value.</w:t>
      </w:r>
    </w:p>
    <w:p w14:paraId="690343D0" w14:textId="77777777" w:rsidR="00425686" w:rsidRPr="00A3394C" w:rsidRDefault="00425686" w:rsidP="00FC658E">
      <w:pPr>
        <w:rPr>
          <w:highlight w:val="yellow"/>
        </w:rPr>
      </w:pPr>
    </w:p>
    <w:p w14:paraId="3D4D7F3E" w14:textId="77777777" w:rsidR="00425686" w:rsidRPr="00A3394C" w:rsidRDefault="00425686" w:rsidP="00425686">
      <w:pPr>
        <w:ind w:left="360"/>
        <w:rPr>
          <w:highlight w:val="yellow"/>
        </w:rPr>
      </w:pPr>
      <w:r w:rsidRPr="00A3394C">
        <w:rPr>
          <w:highlight w:val="yellow"/>
        </w:rPr>
        <w:t>Suppose we know that the average GDP growth rate from 2020 to 2023 was approximately 1.030, and in 2020, the GDP per person was €26,790. Since there were three annual changes in this period, we can conclude that in 2023, the GDP per person was approximately:</w:t>
      </w:r>
    </w:p>
    <w:p w14:paraId="611750F4" w14:textId="77777777" w:rsidR="00425686" w:rsidRPr="00A3394C" w:rsidRDefault="00425686" w:rsidP="00425686">
      <w:pPr>
        <w:ind w:left="360"/>
        <w:jc w:val="center"/>
        <w:rPr>
          <w:highlight w:val="yellow"/>
        </w:rPr>
      </w:pPr>
      <m:oMath>
        <m:r>
          <w:rPr>
            <w:rFonts w:ascii="Cambria Math" w:hAnsi="Cambria Math"/>
            <w:highlight w:val="yellow"/>
          </w:rPr>
          <m:t>26 790∙</m:t>
        </m:r>
        <m:sSup>
          <m:sSupPr>
            <m:ctrlPr>
              <w:rPr>
                <w:rFonts w:ascii="Cambria Math" w:hAnsi="Cambria Math"/>
                <w:i/>
                <w:highlight w:val="yellow"/>
              </w:rPr>
            </m:ctrlPr>
          </m:sSupPr>
          <m:e>
            <m:r>
              <w:rPr>
                <w:rFonts w:ascii="Cambria Math" w:hAnsi="Cambria Math"/>
                <w:highlight w:val="yellow"/>
              </w:rPr>
              <m:t>1.030</m:t>
            </m:r>
          </m:e>
          <m:sup>
            <m:r>
              <w:rPr>
                <w:rFonts w:ascii="Cambria Math" w:hAnsi="Cambria Math"/>
                <w:highlight w:val="yellow"/>
              </w:rPr>
              <m:t>3</m:t>
            </m:r>
          </m:sup>
        </m:sSup>
        <m:r>
          <w:rPr>
            <w:rFonts w:ascii="Cambria Math" w:eastAsiaTheme="minorEastAsia" w:hAnsi="Cambria Math"/>
            <w:kern w:val="2"/>
            <w:highlight w:val="yellow"/>
            <w:lang w:eastAsia="en-US"/>
            <w14:ligatures w14:val="standardContextual"/>
          </w:rPr>
          <m:t>≈</m:t>
        </m:r>
        <m:r>
          <w:rPr>
            <w:rFonts w:ascii="Cambria Math" w:hAnsi="Cambria Math"/>
            <w:highlight w:val="yellow"/>
          </w:rPr>
          <m:t>29 274</m:t>
        </m:r>
      </m:oMath>
      <w:r w:rsidRPr="00A3394C">
        <w:rPr>
          <w:highlight w:val="yellow"/>
        </w:rPr>
        <w:t xml:space="preserve"> (Euro per person).</w:t>
      </w:r>
    </w:p>
    <w:p w14:paraId="6497ABDA" w14:textId="77777777" w:rsidR="00425686" w:rsidRPr="00A3394C" w:rsidRDefault="00425686" w:rsidP="00FC658E">
      <w:pPr>
        <w:jc w:val="both"/>
      </w:pPr>
    </w:p>
    <w:p w14:paraId="29A8C621" w14:textId="1C9A154B" w:rsidR="00425686" w:rsidRPr="00A3394C" w:rsidRDefault="00425686" w:rsidP="00425686">
      <w:pPr>
        <w:ind w:left="360"/>
        <w:jc w:val="both"/>
      </w:pPr>
      <w:r w:rsidRPr="00A3394C">
        <w:rPr>
          <w:highlight w:val="yellow"/>
        </w:rPr>
        <w:lastRenderedPageBreak/>
        <w:t>Since we used a rounded value for the average growth rate in our calculation, this introduces a small error. Given that we know the actual GDP in 2023 (€29</w:t>
      </w:r>
      <w:r w:rsidR="00E969D7">
        <w:rPr>
          <w:highlight w:val="yellow"/>
        </w:rPr>
        <w:t xml:space="preserve"> </w:t>
      </w:r>
      <w:r w:rsidRPr="00A3394C">
        <w:rPr>
          <w:highlight w:val="yellow"/>
        </w:rPr>
        <w:t>280 per person), we can determine the error introduced. In this case, we underestimated the actual GDP by €6 per person, or about 0.02%.</w:t>
      </w:r>
    </w:p>
    <w:p w14:paraId="62AD0408" w14:textId="77777777" w:rsidR="00425686" w:rsidRPr="00A3394C" w:rsidRDefault="00425686" w:rsidP="00425686">
      <w:pPr>
        <w:jc w:val="both"/>
      </w:pPr>
      <w:r w:rsidRPr="00A3394C">
        <w:t xml:space="preserve">   </w:t>
      </w:r>
    </w:p>
    <w:p w14:paraId="6920E366" w14:textId="3984E6A9" w:rsidR="00425686" w:rsidRPr="00A3394C" w:rsidRDefault="00425686" w:rsidP="00FC658E">
      <w:pPr>
        <w:ind w:left="360"/>
        <w:jc w:val="both"/>
      </w:pPr>
      <w:r w:rsidRPr="00A3394C">
        <w:t xml:space="preserve"> </w:t>
      </w:r>
      <w:r w:rsidRPr="00A3394C">
        <w:rPr>
          <w:noProof/>
        </w:rPr>
        <mc:AlternateContent>
          <mc:Choice Requires="wps">
            <w:drawing>
              <wp:anchor distT="0" distB="0" distL="114300" distR="114300" simplePos="0" relativeHeight="251666432" behindDoc="0" locked="0" layoutInCell="1" allowOverlap="1" wp14:anchorId="68E32494" wp14:editId="6CFF2053">
                <wp:simplePos x="0" y="0"/>
                <wp:positionH relativeFrom="column">
                  <wp:posOffset>0</wp:posOffset>
                </wp:positionH>
                <wp:positionV relativeFrom="paragraph">
                  <wp:posOffset>0</wp:posOffset>
                </wp:positionV>
                <wp:extent cx="1828800" cy="1828800"/>
                <wp:effectExtent l="0" t="0" r="17145" b="8890"/>
                <wp:wrapSquare wrapText="bothSides"/>
                <wp:docPr id="160531139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2">
                            <a:lumMod val="10000"/>
                            <a:lumOff val="90000"/>
                          </a:schemeClr>
                        </a:solidFill>
                        <a:ln w="6350">
                          <a:solidFill>
                            <a:prstClr val="black"/>
                          </a:solidFill>
                        </a:ln>
                      </wps:spPr>
                      <wps:txbx>
                        <w:txbxContent>
                          <w:p w14:paraId="28876165" w14:textId="77777777" w:rsidR="00425686" w:rsidRDefault="00425686" w:rsidP="00425686">
                            <w:pPr>
                              <w:ind w:left="357"/>
                              <w:jc w:val="both"/>
                              <w:rPr>
                                <w:b/>
                                <w:bCs/>
                              </w:rPr>
                            </w:pPr>
                            <w:r w:rsidRPr="00991B1F">
                              <w:rPr>
                                <w:b/>
                                <w:bCs/>
                              </w:rPr>
                              <w:t>Task 4</w:t>
                            </w:r>
                          </w:p>
                          <w:p w14:paraId="6CB034E2" w14:textId="77777777" w:rsidR="00425686" w:rsidRPr="00550F2F" w:rsidRDefault="00425686" w:rsidP="00425686">
                            <w:pPr>
                              <w:ind w:left="357"/>
                              <w:jc w:val="both"/>
                            </w:pPr>
                            <w:r w:rsidRPr="00991B1F">
                              <w:t>Determine the annual relative GDP growth rates of the European Union from 2020 to 2023 and the corresponding average relative GDP growth rate for this period.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E32494" id="_x0000_s1029" type="#_x0000_t202" style="position:absolute;left:0;text-align:left;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" fillcolor="#dceaf7 [351]" strokeweight=".5pt">
                <v:textbox style="mso-fit-shape-to-text:t">
                  <w:txbxContent>
                    <w:p w14:paraId="28876165" w14:textId="77777777" w:rsidR="00425686" w:rsidRDefault="00425686" w:rsidP="00425686">
                      <w:pPr>
                        <w:ind w:left="357"/>
                        <w:jc w:val="both"/>
                        <w:rPr>
                          <w:b/>
                          <w:bCs/>
                        </w:rPr>
                      </w:pPr>
                      <w:r w:rsidRPr="00991B1F">
                        <w:rPr>
                          <w:b/>
                          <w:bCs/>
                        </w:rPr>
                        <w:t>Task 4</w:t>
                      </w:r>
                    </w:p>
                    <w:p w14:paraId="6CB034E2" w14:textId="77777777" w:rsidR="00425686" w:rsidRPr="00550F2F" w:rsidRDefault="00425686" w:rsidP="00425686">
                      <w:pPr>
                        <w:ind w:left="357"/>
                        <w:jc w:val="both"/>
                      </w:pPr>
                      <w:r w:rsidRPr="00991B1F">
                        <w:t>Determine the annual relative GDP growth rates of the European Union from 2020 to 2023 and the corresponding average relative GDP growth rate for this period.</w:t>
                      </w:r>
                    </w:p>
                  </w:txbxContent>
                </v:textbox>
                <w10:wrap type="square"/>
              </v:shape>
            </w:pict>
          </mc:Fallback>
        </mc:AlternateContent>
      </w:r>
    </w:p>
    <w:p w14:paraId="2DC0C128" w14:textId="77777777" w:rsidR="00425686" w:rsidRPr="00A3394C" w:rsidRDefault="00425686" w:rsidP="00425686">
      <w:pPr>
        <w:ind w:left="357"/>
        <w:jc w:val="both"/>
      </w:pPr>
      <w:r w:rsidRPr="00A3394C">
        <w:t>This task has already been solved in the interpretation of the growth rates determined in Task 3. If we state that GDP increased 1.063 times in 2021, this is equivalent to saying that GDP grew by 6.3% in that year.</w:t>
      </w:r>
    </w:p>
    <w:p w14:paraId="19A58CFC" w14:textId="77777777" w:rsidR="00425686" w:rsidRPr="00A3394C" w:rsidRDefault="00425686" w:rsidP="0037741A">
      <w:pPr>
        <w:jc w:val="both"/>
      </w:pPr>
    </w:p>
    <w:p w14:paraId="7F1E708A" w14:textId="77777777" w:rsidR="00425686" w:rsidRPr="007E2084" w:rsidRDefault="00425686" w:rsidP="00425686">
      <w:pPr>
        <w:ind w:left="357"/>
        <w:jc w:val="both"/>
      </w:pPr>
      <w:r w:rsidRPr="007E2084">
        <w:t>Equations (6) and (7) also express how the relative growth rate in percentage terms (or the average relative growth rate) is related to the growth rate (or the average growth rate).</w:t>
      </w:r>
    </w:p>
    <w:p w14:paraId="4DD06BE6" w14:textId="77777777" w:rsidR="00425686" w:rsidRPr="007E2084" w:rsidRDefault="00425686" w:rsidP="00425686">
      <w:pPr>
        <w:ind w:left="357"/>
        <w:jc w:val="both"/>
      </w:pPr>
      <w:r w:rsidRPr="007E2084">
        <w:t>The results are summarized in Table 3.</w:t>
      </w:r>
    </w:p>
    <w:p w14:paraId="4C06FA9B" w14:textId="77777777" w:rsidR="00425686" w:rsidRPr="00A3394C" w:rsidRDefault="00425686" w:rsidP="00A40950">
      <w:pPr>
        <w:jc w:val="both"/>
      </w:pPr>
    </w:p>
    <w:p w14:paraId="32DE32B3" w14:textId="77777777" w:rsidR="00425686" w:rsidRPr="00A3394C" w:rsidRDefault="00425686" w:rsidP="00425686">
      <w:pPr>
        <w:pStyle w:val="Titulek"/>
        <w:keepNext/>
        <w:jc w:val="center"/>
      </w:pPr>
      <w:r w:rsidRPr="00A3394C">
        <w:t>Tab 3: Basic Measures of GDP Dynamics in the European Union (per person) from 2020 to 2023 (III)</w:t>
      </w:r>
    </w:p>
    <w:tbl>
      <w:tblPr>
        <w:tblW w:w="8647" w:type="dxa"/>
        <w:jc w:val="center"/>
        <w:tblLook w:val="04A0" w:firstRow="1" w:lastRow="0" w:firstColumn="1" w:lastColumn="0" w:noHBand="0" w:noVBand="1"/>
      </w:tblPr>
      <w:tblGrid>
        <w:gridCol w:w="1180"/>
        <w:gridCol w:w="2080"/>
        <w:gridCol w:w="1887"/>
        <w:gridCol w:w="1411"/>
        <w:gridCol w:w="2089"/>
      </w:tblGrid>
      <w:tr w:rsidR="00425686" w:rsidRPr="00A3394C" w14:paraId="35CC81E3" w14:textId="77777777" w:rsidTr="0070707D">
        <w:trPr>
          <w:trHeight w:val="320"/>
          <w:jc w:val="center"/>
        </w:trPr>
        <w:tc>
          <w:tcPr>
            <w:tcW w:w="1180" w:type="dxa"/>
            <w:tcBorders>
              <w:top w:val="single" w:sz="4" w:space="0" w:color="auto"/>
              <w:left w:val="nil"/>
              <w:bottom w:val="single" w:sz="4" w:space="0" w:color="auto"/>
              <w:right w:val="nil"/>
            </w:tcBorders>
            <w:shd w:val="clear" w:color="auto" w:fill="auto"/>
            <w:noWrap/>
            <w:vAlign w:val="center"/>
            <w:hideMark/>
          </w:tcPr>
          <w:p w14:paraId="114BC0B1" w14:textId="77777777" w:rsidR="00425686" w:rsidRPr="00A3394C" w:rsidRDefault="00425686" w:rsidP="0070707D">
            <w:pPr>
              <w:jc w:val="center"/>
              <w:rPr>
                <w:b/>
                <w:bCs/>
                <w:color w:val="000000"/>
              </w:rPr>
            </w:pPr>
            <w:r w:rsidRPr="00A3394C">
              <w:rPr>
                <w:b/>
                <w:bCs/>
                <w:color w:val="000000"/>
              </w:rPr>
              <w:t>Year</w:t>
            </w:r>
          </w:p>
        </w:tc>
        <w:tc>
          <w:tcPr>
            <w:tcW w:w="2080" w:type="dxa"/>
            <w:tcBorders>
              <w:top w:val="single" w:sz="4" w:space="0" w:color="auto"/>
              <w:left w:val="nil"/>
              <w:bottom w:val="single" w:sz="4" w:space="0" w:color="auto"/>
              <w:right w:val="nil"/>
            </w:tcBorders>
            <w:shd w:val="clear" w:color="auto" w:fill="auto"/>
            <w:noWrap/>
            <w:vAlign w:val="center"/>
            <w:hideMark/>
          </w:tcPr>
          <w:p w14:paraId="222BFA9A" w14:textId="77777777" w:rsidR="00425686" w:rsidRPr="00A3394C" w:rsidRDefault="00425686" w:rsidP="0070707D">
            <w:pPr>
              <w:jc w:val="center"/>
              <w:rPr>
                <w:b/>
                <w:bCs/>
                <w:color w:val="000000"/>
              </w:rPr>
            </w:pPr>
            <w:r w:rsidRPr="00A3394C">
              <w:rPr>
                <w:b/>
                <w:bCs/>
                <w:color w:val="000000"/>
              </w:rPr>
              <w:t>GDP (Euro/person)</w:t>
            </w:r>
          </w:p>
        </w:tc>
        <w:tc>
          <w:tcPr>
            <w:tcW w:w="1887" w:type="dxa"/>
            <w:tcBorders>
              <w:top w:val="single" w:sz="4" w:space="0" w:color="auto"/>
              <w:left w:val="nil"/>
              <w:bottom w:val="single" w:sz="4" w:space="0" w:color="auto"/>
              <w:right w:val="nil"/>
            </w:tcBorders>
            <w:vAlign w:val="center"/>
          </w:tcPr>
          <w:p w14:paraId="0C39B78C" w14:textId="77777777" w:rsidR="00425686" w:rsidRPr="00A3394C" w:rsidRDefault="00425686" w:rsidP="0070707D">
            <w:pPr>
              <w:jc w:val="center"/>
              <w:rPr>
                <w:b/>
                <w:bCs/>
                <w:color w:val="000000"/>
              </w:rPr>
            </w:pPr>
            <w:r w:rsidRPr="00A3394C">
              <w:rPr>
                <w:b/>
                <w:bCs/>
                <w:color w:val="000000"/>
              </w:rPr>
              <w:t>Annual GDP  Change</w:t>
            </w:r>
          </w:p>
          <w:p w14:paraId="1D4321EB" w14:textId="77777777" w:rsidR="00425686" w:rsidRPr="00A3394C" w:rsidRDefault="00425686" w:rsidP="0070707D">
            <w:pPr>
              <w:jc w:val="center"/>
              <w:rPr>
                <w:b/>
                <w:bCs/>
                <w:color w:val="000000"/>
              </w:rPr>
            </w:pPr>
            <w:r w:rsidRPr="00A3394C">
              <w:rPr>
                <w:b/>
                <w:bCs/>
                <w:color w:val="000000"/>
              </w:rPr>
              <w:t>(Euro/osoba)</w:t>
            </w:r>
          </w:p>
        </w:tc>
        <w:tc>
          <w:tcPr>
            <w:tcW w:w="1411" w:type="dxa"/>
            <w:tcBorders>
              <w:top w:val="single" w:sz="4" w:space="0" w:color="auto"/>
              <w:left w:val="nil"/>
              <w:bottom w:val="single" w:sz="4" w:space="0" w:color="auto"/>
              <w:right w:val="nil"/>
            </w:tcBorders>
            <w:vAlign w:val="center"/>
          </w:tcPr>
          <w:p w14:paraId="337906B8" w14:textId="77777777" w:rsidR="00425686" w:rsidRPr="00A3394C" w:rsidRDefault="00425686" w:rsidP="0070707D">
            <w:pPr>
              <w:jc w:val="center"/>
              <w:rPr>
                <w:b/>
                <w:bCs/>
                <w:color w:val="000000"/>
              </w:rPr>
            </w:pPr>
            <w:r w:rsidRPr="00A3394C">
              <w:rPr>
                <w:b/>
                <w:bCs/>
                <w:color w:val="000000"/>
              </w:rPr>
              <w:t>Growth Rate</w:t>
            </w:r>
          </w:p>
          <w:p w14:paraId="45038C39" w14:textId="77777777" w:rsidR="00425686" w:rsidRPr="00A3394C" w:rsidRDefault="00425686" w:rsidP="0070707D">
            <w:pPr>
              <w:jc w:val="center"/>
              <w:rPr>
                <w:b/>
                <w:bCs/>
                <w:color w:val="000000"/>
              </w:rPr>
            </w:pPr>
            <w:r w:rsidRPr="00A3394C">
              <w:rPr>
                <w:b/>
                <w:bCs/>
                <w:color w:val="000000"/>
              </w:rPr>
              <w:t>(-)</w:t>
            </w:r>
          </w:p>
        </w:tc>
        <w:tc>
          <w:tcPr>
            <w:tcW w:w="2089" w:type="dxa"/>
            <w:tcBorders>
              <w:top w:val="single" w:sz="4" w:space="0" w:color="auto"/>
              <w:left w:val="nil"/>
              <w:bottom w:val="single" w:sz="4" w:space="0" w:color="auto"/>
              <w:right w:val="nil"/>
            </w:tcBorders>
            <w:vAlign w:val="center"/>
          </w:tcPr>
          <w:p w14:paraId="34273635" w14:textId="77777777" w:rsidR="00425686" w:rsidRPr="00A3394C" w:rsidRDefault="00425686" w:rsidP="0070707D">
            <w:pPr>
              <w:jc w:val="center"/>
              <w:rPr>
                <w:b/>
                <w:bCs/>
                <w:color w:val="000000"/>
              </w:rPr>
            </w:pPr>
            <w:r w:rsidRPr="00A3394C">
              <w:rPr>
                <w:b/>
                <w:bCs/>
                <w:color w:val="000000"/>
              </w:rPr>
              <w:t>Relative Growth Rate</w:t>
            </w:r>
          </w:p>
          <w:p w14:paraId="5F575E60" w14:textId="77777777" w:rsidR="00425686" w:rsidRPr="00A3394C" w:rsidRDefault="00425686" w:rsidP="0070707D">
            <w:pPr>
              <w:jc w:val="center"/>
              <w:rPr>
                <w:b/>
                <w:bCs/>
                <w:color w:val="000000"/>
              </w:rPr>
            </w:pPr>
            <w:r w:rsidRPr="00A3394C">
              <w:rPr>
                <w:b/>
                <w:bCs/>
                <w:color w:val="000000"/>
              </w:rPr>
              <w:t>(%)</w:t>
            </w:r>
          </w:p>
        </w:tc>
      </w:tr>
      <w:tr w:rsidR="00425686" w:rsidRPr="00A3394C" w14:paraId="03DDE5A5"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019FA25B" w14:textId="77777777" w:rsidR="00425686" w:rsidRPr="00A3394C" w:rsidRDefault="00425686" w:rsidP="0070707D">
            <w:pPr>
              <w:jc w:val="center"/>
              <w:rPr>
                <w:color w:val="000000"/>
              </w:rPr>
            </w:pPr>
            <w:r w:rsidRPr="00A3394C">
              <w:rPr>
                <w:color w:val="000000"/>
              </w:rPr>
              <w:t>2020</w:t>
            </w:r>
          </w:p>
        </w:tc>
        <w:tc>
          <w:tcPr>
            <w:tcW w:w="2080" w:type="dxa"/>
            <w:tcBorders>
              <w:top w:val="nil"/>
              <w:left w:val="nil"/>
              <w:bottom w:val="nil"/>
              <w:right w:val="nil"/>
            </w:tcBorders>
            <w:shd w:val="clear" w:color="auto" w:fill="auto"/>
            <w:noWrap/>
            <w:vAlign w:val="center"/>
            <w:hideMark/>
          </w:tcPr>
          <w:p w14:paraId="64243C12" w14:textId="77777777" w:rsidR="00425686" w:rsidRPr="00A3394C" w:rsidRDefault="00425686" w:rsidP="0070707D">
            <w:pPr>
              <w:jc w:val="center"/>
              <w:rPr>
                <w:color w:val="000000"/>
              </w:rPr>
            </w:pPr>
            <w:r w:rsidRPr="00A3394C">
              <w:rPr>
                <w:color w:val="000000"/>
              </w:rPr>
              <w:t>26 790</w:t>
            </w:r>
          </w:p>
        </w:tc>
        <w:tc>
          <w:tcPr>
            <w:tcW w:w="1887" w:type="dxa"/>
            <w:tcBorders>
              <w:top w:val="nil"/>
              <w:left w:val="nil"/>
              <w:bottom w:val="nil"/>
              <w:right w:val="nil"/>
            </w:tcBorders>
            <w:vAlign w:val="center"/>
          </w:tcPr>
          <w:p w14:paraId="5D217586" w14:textId="77777777" w:rsidR="00425686" w:rsidRPr="00A3394C" w:rsidRDefault="00425686" w:rsidP="0070707D">
            <w:pPr>
              <w:jc w:val="center"/>
              <w:rPr>
                <w:color w:val="000000"/>
              </w:rPr>
            </w:pPr>
            <w:r w:rsidRPr="00A3394C">
              <w:rPr>
                <w:color w:val="000000"/>
              </w:rPr>
              <w:t>---</w:t>
            </w:r>
          </w:p>
        </w:tc>
        <w:tc>
          <w:tcPr>
            <w:tcW w:w="1411" w:type="dxa"/>
            <w:tcBorders>
              <w:top w:val="nil"/>
              <w:left w:val="nil"/>
              <w:bottom w:val="nil"/>
              <w:right w:val="nil"/>
            </w:tcBorders>
            <w:vAlign w:val="center"/>
          </w:tcPr>
          <w:p w14:paraId="67A68C10" w14:textId="77777777" w:rsidR="00425686" w:rsidRPr="00A3394C" w:rsidRDefault="00425686" w:rsidP="0070707D">
            <w:pPr>
              <w:jc w:val="center"/>
              <w:rPr>
                <w:color w:val="000000"/>
              </w:rPr>
            </w:pPr>
            <w:r w:rsidRPr="00A3394C">
              <w:rPr>
                <w:color w:val="000000"/>
              </w:rPr>
              <w:t>---</w:t>
            </w:r>
          </w:p>
        </w:tc>
        <w:tc>
          <w:tcPr>
            <w:tcW w:w="2089" w:type="dxa"/>
            <w:tcBorders>
              <w:top w:val="nil"/>
              <w:left w:val="nil"/>
              <w:bottom w:val="nil"/>
              <w:right w:val="nil"/>
            </w:tcBorders>
            <w:vAlign w:val="center"/>
          </w:tcPr>
          <w:p w14:paraId="7B5841B6" w14:textId="77777777" w:rsidR="00425686" w:rsidRPr="00A3394C" w:rsidRDefault="00425686" w:rsidP="0070707D">
            <w:pPr>
              <w:jc w:val="center"/>
              <w:rPr>
                <w:color w:val="000000"/>
              </w:rPr>
            </w:pPr>
            <w:r w:rsidRPr="00A3394C">
              <w:rPr>
                <w:color w:val="000000"/>
              </w:rPr>
              <w:t>---</w:t>
            </w:r>
          </w:p>
        </w:tc>
      </w:tr>
      <w:tr w:rsidR="00425686" w:rsidRPr="00A3394C" w14:paraId="45B34643"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72BFAE99" w14:textId="77777777" w:rsidR="00425686" w:rsidRPr="00A3394C" w:rsidRDefault="00425686" w:rsidP="0070707D">
            <w:pPr>
              <w:jc w:val="center"/>
              <w:rPr>
                <w:color w:val="000000"/>
              </w:rPr>
            </w:pPr>
            <w:r w:rsidRPr="00A3394C">
              <w:rPr>
                <w:color w:val="000000"/>
              </w:rPr>
              <w:t>2021</w:t>
            </w:r>
          </w:p>
        </w:tc>
        <w:tc>
          <w:tcPr>
            <w:tcW w:w="2080" w:type="dxa"/>
            <w:tcBorders>
              <w:top w:val="nil"/>
              <w:left w:val="nil"/>
              <w:bottom w:val="nil"/>
              <w:right w:val="nil"/>
            </w:tcBorders>
            <w:shd w:val="clear" w:color="auto" w:fill="auto"/>
            <w:noWrap/>
            <w:vAlign w:val="center"/>
            <w:hideMark/>
          </w:tcPr>
          <w:p w14:paraId="3E9A249C" w14:textId="77777777" w:rsidR="00425686" w:rsidRPr="00A3394C" w:rsidRDefault="00425686" w:rsidP="0070707D">
            <w:pPr>
              <w:jc w:val="center"/>
              <w:rPr>
                <w:color w:val="000000"/>
              </w:rPr>
            </w:pPr>
            <w:r w:rsidRPr="00A3394C">
              <w:rPr>
                <w:color w:val="000000"/>
              </w:rPr>
              <w:t>28 490</w:t>
            </w:r>
          </w:p>
        </w:tc>
        <w:tc>
          <w:tcPr>
            <w:tcW w:w="1887" w:type="dxa"/>
            <w:tcBorders>
              <w:top w:val="nil"/>
              <w:left w:val="nil"/>
              <w:bottom w:val="nil"/>
              <w:right w:val="nil"/>
            </w:tcBorders>
            <w:vAlign w:val="center"/>
          </w:tcPr>
          <w:p w14:paraId="3A7B466B" w14:textId="77777777" w:rsidR="00425686" w:rsidRPr="00A3394C" w:rsidRDefault="00425686" w:rsidP="0070707D">
            <w:pPr>
              <w:jc w:val="center"/>
              <w:rPr>
                <w:color w:val="000000"/>
              </w:rPr>
            </w:pPr>
            <w:r w:rsidRPr="00A3394C">
              <w:rPr>
                <w:color w:val="000000"/>
              </w:rPr>
              <w:t>1 700</w:t>
            </w:r>
          </w:p>
        </w:tc>
        <w:tc>
          <w:tcPr>
            <w:tcW w:w="1411" w:type="dxa"/>
            <w:tcBorders>
              <w:top w:val="nil"/>
              <w:left w:val="nil"/>
              <w:bottom w:val="nil"/>
              <w:right w:val="nil"/>
            </w:tcBorders>
            <w:vAlign w:val="center"/>
          </w:tcPr>
          <w:p w14:paraId="2649573B" w14:textId="77777777" w:rsidR="00425686" w:rsidRPr="00A3394C" w:rsidRDefault="00425686" w:rsidP="0070707D">
            <w:pPr>
              <w:spacing w:before="60" w:after="60"/>
              <w:jc w:val="center"/>
              <w:rPr>
                <w:color w:val="000000"/>
              </w:rPr>
            </w:pPr>
            <m:oMathPara>
              <m:oMath>
                <m:r>
                  <w:rPr>
                    <w:rFonts w:ascii="Cambria Math" w:eastAsiaTheme="minorEastAsia" w:hAnsi="Cambria Math"/>
                    <w:kern w:val="2"/>
                    <w:lang w:eastAsia="en-US"/>
                    <w14:ligatures w14:val="standardContextual"/>
                  </w:rPr>
                  <m:t>1.063</m:t>
                </m:r>
              </m:oMath>
            </m:oMathPara>
          </w:p>
        </w:tc>
        <w:tc>
          <w:tcPr>
            <w:tcW w:w="2089" w:type="dxa"/>
            <w:tcBorders>
              <w:top w:val="nil"/>
              <w:left w:val="nil"/>
              <w:bottom w:val="nil"/>
              <w:right w:val="nil"/>
            </w:tcBorders>
            <w:vAlign w:val="center"/>
          </w:tcPr>
          <w:p w14:paraId="66A43C89" w14:textId="77777777" w:rsidR="00425686" w:rsidRPr="00A3394C" w:rsidRDefault="00425686" w:rsidP="0070707D">
            <w:pPr>
              <w:spacing w:before="60" w:after="60"/>
              <w:jc w:val="center"/>
              <w:rPr>
                <w:kern w:val="2"/>
                <w:lang w:eastAsia="en-US"/>
                <w14:ligatures w14:val="standardContextual"/>
              </w:rPr>
            </w:pPr>
            <w:r w:rsidRPr="00A3394C">
              <w:rPr>
                <w:kern w:val="2"/>
                <w:lang w:eastAsia="en-US"/>
                <w14:ligatures w14:val="standardContextual"/>
              </w:rPr>
              <w:t>6.3</w:t>
            </w:r>
          </w:p>
        </w:tc>
      </w:tr>
      <w:tr w:rsidR="00425686" w:rsidRPr="00A3394C" w14:paraId="3F182F4C" w14:textId="77777777" w:rsidTr="0070707D">
        <w:trPr>
          <w:trHeight w:val="320"/>
          <w:jc w:val="center"/>
        </w:trPr>
        <w:tc>
          <w:tcPr>
            <w:tcW w:w="1180" w:type="dxa"/>
            <w:tcBorders>
              <w:top w:val="nil"/>
              <w:left w:val="nil"/>
              <w:bottom w:val="nil"/>
              <w:right w:val="nil"/>
            </w:tcBorders>
            <w:shd w:val="clear" w:color="auto" w:fill="auto"/>
            <w:noWrap/>
            <w:vAlign w:val="center"/>
            <w:hideMark/>
          </w:tcPr>
          <w:p w14:paraId="099B40CD" w14:textId="77777777" w:rsidR="00425686" w:rsidRPr="00A3394C" w:rsidRDefault="00425686" w:rsidP="0070707D">
            <w:pPr>
              <w:jc w:val="center"/>
              <w:rPr>
                <w:color w:val="000000"/>
              </w:rPr>
            </w:pPr>
            <w:r w:rsidRPr="00A3394C">
              <w:rPr>
                <w:color w:val="000000"/>
              </w:rPr>
              <w:t>2022</w:t>
            </w:r>
          </w:p>
        </w:tc>
        <w:tc>
          <w:tcPr>
            <w:tcW w:w="2080" w:type="dxa"/>
            <w:tcBorders>
              <w:top w:val="nil"/>
              <w:left w:val="nil"/>
              <w:bottom w:val="nil"/>
              <w:right w:val="nil"/>
            </w:tcBorders>
            <w:shd w:val="clear" w:color="auto" w:fill="auto"/>
            <w:noWrap/>
            <w:vAlign w:val="center"/>
            <w:hideMark/>
          </w:tcPr>
          <w:p w14:paraId="24119E63" w14:textId="77777777" w:rsidR="00425686" w:rsidRPr="00A3394C" w:rsidRDefault="00425686" w:rsidP="0070707D">
            <w:pPr>
              <w:jc w:val="center"/>
              <w:rPr>
                <w:color w:val="000000"/>
              </w:rPr>
            </w:pPr>
            <w:r w:rsidRPr="00A3394C">
              <w:rPr>
                <w:color w:val="000000"/>
              </w:rPr>
              <w:t>29 300</w:t>
            </w:r>
          </w:p>
        </w:tc>
        <w:tc>
          <w:tcPr>
            <w:tcW w:w="1887" w:type="dxa"/>
            <w:tcBorders>
              <w:top w:val="nil"/>
              <w:left w:val="nil"/>
              <w:bottom w:val="nil"/>
              <w:right w:val="nil"/>
            </w:tcBorders>
            <w:vAlign w:val="center"/>
          </w:tcPr>
          <w:p w14:paraId="52F6125B" w14:textId="77777777" w:rsidR="00425686" w:rsidRPr="00A3394C" w:rsidRDefault="00425686" w:rsidP="0070707D">
            <w:pPr>
              <w:jc w:val="center"/>
              <w:rPr>
                <w:color w:val="000000"/>
              </w:rPr>
            </w:pPr>
            <w:r w:rsidRPr="00A3394C">
              <w:rPr>
                <w:color w:val="000000"/>
              </w:rPr>
              <w:t>810</w:t>
            </w:r>
          </w:p>
        </w:tc>
        <w:tc>
          <w:tcPr>
            <w:tcW w:w="1411" w:type="dxa"/>
            <w:tcBorders>
              <w:top w:val="nil"/>
              <w:left w:val="nil"/>
              <w:bottom w:val="nil"/>
              <w:right w:val="nil"/>
            </w:tcBorders>
            <w:vAlign w:val="center"/>
          </w:tcPr>
          <w:p w14:paraId="452B1775" w14:textId="77777777" w:rsidR="00425686" w:rsidRPr="00A3394C" w:rsidRDefault="00425686" w:rsidP="0070707D">
            <w:pPr>
              <w:spacing w:before="60" w:after="60"/>
              <w:jc w:val="center"/>
              <w:rPr>
                <w:color w:val="000000"/>
              </w:rPr>
            </w:pPr>
            <w:r w:rsidRPr="00A3394C">
              <w:rPr>
                <w:kern w:val="2"/>
                <w:lang w:eastAsia="en-US"/>
                <w14:ligatures w14:val="standardContextual"/>
              </w:rPr>
              <w:t>1.028</w:t>
            </w:r>
          </w:p>
        </w:tc>
        <w:tc>
          <w:tcPr>
            <w:tcW w:w="2089" w:type="dxa"/>
            <w:tcBorders>
              <w:top w:val="nil"/>
              <w:left w:val="nil"/>
              <w:bottom w:val="nil"/>
              <w:right w:val="nil"/>
            </w:tcBorders>
            <w:vAlign w:val="center"/>
          </w:tcPr>
          <w:p w14:paraId="212FBAA6" w14:textId="77777777" w:rsidR="00425686" w:rsidRPr="00A3394C" w:rsidRDefault="00425686" w:rsidP="0070707D">
            <w:pPr>
              <w:spacing w:before="60" w:after="60"/>
              <w:jc w:val="center"/>
              <w:rPr>
                <w:kern w:val="2"/>
                <w:lang w:eastAsia="en-US"/>
                <w14:ligatures w14:val="standardContextual"/>
              </w:rPr>
            </w:pPr>
            <w:r w:rsidRPr="00A3394C">
              <w:rPr>
                <w:kern w:val="2"/>
                <w:lang w:eastAsia="en-US"/>
                <w14:ligatures w14:val="standardContextual"/>
              </w:rPr>
              <w:t>2.8</w:t>
            </w:r>
          </w:p>
        </w:tc>
      </w:tr>
      <w:tr w:rsidR="00425686" w:rsidRPr="00A3394C" w14:paraId="05CDC88C" w14:textId="77777777" w:rsidTr="0070707D">
        <w:trPr>
          <w:trHeight w:val="320"/>
          <w:jc w:val="center"/>
        </w:trPr>
        <w:tc>
          <w:tcPr>
            <w:tcW w:w="1180" w:type="dxa"/>
            <w:tcBorders>
              <w:top w:val="nil"/>
              <w:left w:val="nil"/>
              <w:bottom w:val="single" w:sz="4" w:space="0" w:color="auto"/>
              <w:right w:val="nil"/>
            </w:tcBorders>
            <w:shd w:val="clear" w:color="auto" w:fill="auto"/>
            <w:noWrap/>
            <w:vAlign w:val="center"/>
            <w:hideMark/>
          </w:tcPr>
          <w:p w14:paraId="1DDB4AE8" w14:textId="77777777" w:rsidR="00425686" w:rsidRPr="00A3394C" w:rsidRDefault="00425686" w:rsidP="0070707D">
            <w:pPr>
              <w:jc w:val="center"/>
              <w:rPr>
                <w:color w:val="000000"/>
              </w:rPr>
            </w:pPr>
            <w:r w:rsidRPr="00A3394C">
              <w:rPr>
                <w:color w:val="000000"/>
              </w:rPr>
              <w:t>2023</w:t>
            </w:r>
          </w:p>
        </w:tc>
        <w:tc>
          <w:tcPr>
            <w:tcW w:w="2080" w:type="dxa"/>
            <w:tcBorders>
              <w:top w:val="nil"/>
              <w:left w:val="nil"/>
              <w:bottom w:val="single" w:sz="4" w:space="0" w:color="auto"/>
              <w:right w:val="nil"/>
            </w:tcBorders>
            <w:shd w:val="clear" w:color="auto" w:fill="auto"/>
            <w:noWrap/>
            <w:vAlign w:val="center"/>
            <w:hideMark/>
          </w:tcPr>
          <w:p w14:paraId="00D56706" w14:textId="77777777" w:rsidR="00425686" w:rsidRPr="00A3394C" w:rsidRDefault="00425686" w:rsidP="0070707D">
            <w:pPr>
              <w:jc w:val="center"/>
              <w:rPr>
                <w:color w:val="000000"/>
              </w:rPr>
            </w:pPr>
            <w:r w:rsidRPr="00A3394C">
              <w:rPr>
                <w:color w:val="000000"/>
              </w:rPr>
              <w:t>29 280</w:t>
            </w:r>
          </w:p>
        </w:tc>
        <w:tc>
          <w:tcPr>
            <w:tcW w:w="1887" w:type="dxa"/>
            <w:tcBorders>
              <w:top w:val="nil"/>
              <w:left w:val="nil"/>
              <w:bottom w:val="single" w:sz="4" w:space="0" w:color="auto"/>
              <w:right w:val="nil"/>
            </w:tcBorders>
            <w:vAlign w:val="center"/>
          </w:tcPr>
          <w:p w14:paraId="15DE0243" w14:textId="77777777" w:rsidR="00425686" w:rsidRPr="00A3394C" w:rsidRDefault="00425686" w:rsidP="0070707D">
            <w:pPr>
              <w:jc w:val="center"/>
              <w:rPr>
                <w:color w:val="000000"/>
              </w:rPr>
            </w:pPr>
            <w:r w:rsidRPr="00A3394C">
              <w:rPr>
                <w:color w:val="000000"/>
              </w:rPr>
              <w:t>-20</w:t>
            </w:r>
          </w:p>
        </w:tc>
        <w:tc>
          <w:tcPr>
            <w:tcW w:w="1411" w:type="dxa"/>
            <w:tcBorders>
              <w:top w:val="nil"/>
              <w:left w:val="nil"/>
              <w:bottom w:val="single" w:sz="4" w:space="0" w:color="auto"/>
              <w:right w:val="nil"/>
            </w:tcBorders>
            <w:vAlign w:val="center"/>
          </w:tcPr>
          <w:p w14:paraId="010976D9" w14:textId="77777777" w:rsidR="00425686" w:rsidRPr="00A3394C" w:rsidRDefault="00425686" w:rsidP="0070707D">
            <w:pPr>
              <w:spacing w:before="60" w:after="60"/>
              <w:jc w:val="center"/>
              <w:rPr>
                <w:color w:val="000000"/>
              </w:rPr>
            </w:pPr>
            <w:r w:rsidRPr="00A3394C">
              <w:rPr>
                <w:kern w:val="2"/>
                <w:lang w:eastAsia="en-US"/>
                <w14:ligatures w14:val="standardContextual"/>
              </w:rPr>
              <w:t>0.999</w:t>
            </w:r>
          </w:p>
        </w:tc>
        <w:tc>
          <w:tcPr>
            <w:tcW w:w="2089" w:type="dxa"/>
            <w:tcBorders>
              <w:top w:val="nil"/>
              <w:left w:val="nil"/>
              <w:bottom w:val="single" w:sz="4" w:space="0" w:color="auto"/>
              <w:right w:val="nil"/>
            </w:tcBorders>
            <w:vAlign w:val="center"/>
          </w:tcPr>
          <w:p w14:paraId="63210BC7" w14:textId="77777777" w:rsidR="00425686" w:rsidRPr="00A3394C" w:rsidRDefault="00425686" w:rsidP="0070707D">
            <w:pPr>
              <w:spacing w:before="60" w:after="60"/>
              <w:jc w:val="center"/>
              <w:rPr>
                <w:kern w:val="2"/>
                <w:lang w:eastAsia="en-US"/>
                <w14:ligatures w14:val="standardContextual"/>
              </w:rPr>
            </w:pPr>
            <w:r w:rsidRPr="00A3394C">
              <w:rPr>
                <w:kern w:val="2"/>
                <w:lang w:eastAsia="en-US"/>
                <w14:ligatures w14:val="standardContextual"/>
              </w:rPr>
              <w:t>-0.1</w:t>
            </w:r>
          </w:p>
        </w:tc>
      </w:tr>
      <w:tr w:rsidR="00425686" w:rsidRPr="00A3394C" w14:paraId="77401953" w14:textId="77777777" w:rsidTr="0070707D">
        <w:trPr>
          <w:trHeight w:val="300"/>
          <w:jc w:val="center"/>
        </w:trPr>
        <w:tc>
          <w:tcPr>
            <w:tcW w:w="1180" w:type="dxa"/>
            <w:tcBorders>
              <w:top w:val="nil"/>
              <w:left w:val="nil"/>
              <w:bottom w:val="single" w:sz="4" w:space="0" w:color="auto"/>
              <w:right w:val="nil"/>
            </w:tcBorders>
            <w:shd w:val="clear" w:color="auto" w:fill="auto"/>
            <w:noWrap/>
            <w:vAlign w:val="center"/>
            <w:hideMark/>
          </w:tcPr>
          <w:p w14:paraId="429351C4" w14:textId="77777777" w:rsidR="00425686" w:rsidRPr="00A3394C" w:rsidRDefault="00425686" w:rsidP="0070707D">
            <w:pPr>
              <w:jc w:val="center"/>
              <w:rPr>
                <w:b/>
                <w:bCs/>
                <w:color w:val="000000"/>
              </w:rPr>
            </w:pPr>
            <w:r w:rsidRPr="00A3394C">
              <w:rPr>
                <w:b/>
                <w:bCs/>
                <w:color w:val="000000"/>
              </w:rPr>
              <w:t>Average</w:t>
            </w:r>
          </w:p>
        </w:tc>
        <w:tc>
          <w:tcPr>
            <w:tcW w:w="2080" w:type="dxa"/>
            <w:tcBorders>
              <w:top w:val="nil"/>
              <w:left w:val="nil"/>
              <w:bottom w:val="single" w:sz="4" w:space="0" w:color="auto"/>
              <w:right w:val="nil"/>
            </w:tcBorders>
            <w:shd w:val="clear" w:color="auto" w:fill="auto"/>
            <w:noWrap/>
            <w:vAlign w:val="center"/>
            <w:hideMark/>
          </w:tcPr>
          <w:p w14:paraId="28B49ACE" w14:textId="77777777" w:rsidR="00425686" w:rsidRPr="00A3394C" w:rsidRDefault="00425686" w:rsidP="0070707D">
            <w:pPr>
              <w:jc w:val="center"/>
              <w:rPr>
                <w:b/>
                <w:bCs/>
                <w:color w:val="000000"/>
              </w:rPr>
            </w:pPr>
            <w:r w:rsidRPr="00A3394C">
              <w:rPr>
                <w:b/>
                <w:bCs/>
                <w:color w:val="000000"/>
              </w:rPr>
              <w:t>28 465</w:t>
            </w:r>
          </w:p>
        </w:tc>
        <w:tc>
          <w:tcPr>
            <w:tcW w:w="1887" w:type="dxa"/>
            <w:tcBorders>
              <w:top w:val="nil"/>
              <w:left w:val="nil"/>
              <w:bottom w:val="single" w:sz="4" w:space="0" w:color="auto"/>
              <w:right w:val="nil"/>
            </w:tcBorders>
            <w:vAlign w:val="center"/>
          </w:tcPr>
          <w:p w14:paraId="33A39911" w14:textId="77777777" w:rsidR="00425686" w:rsidRPr="00A3394C" w:rsidRDefault="00425686" w:rsidP="0070707D">
            <w:pPr>
              <w:jc w:val="center"/>
              <w:rPr>
                <w:b/>
                <w:bCs/>
                <w:color w:val="000000"/>
              </w:rPr>
            </w:pPr>
            <w:r w:rsidRPr="00A3394C">
              <w:rPr>
                <w:b/>
                <w:bCs/>
                <w:color w:val="000000"/>
              </w:rPr>
              <w:t>830</w:t>
            </w:r>
          </w:p>
        </w:tc>
        <w:tc>
          <w:tcPr>
            <w:tcW w:w="1411" w:type="dxa"/>
            <w:tcBorders>
              <w:top w:val="nil"/>
              <w:left w:val="nil"/>
              <w:bottom w:val="single" w:sz="4" w:space="0" w:color="auto"/>
              <w:right w:val="nil"/>
            </w:tcBorders>
            <w:vAlign w:val="center"/>
          </w:tcPr>
          <w:p w14:paraId="2633FEEA" w14:textId="77777777" w:rsidR="00425686" w:rsidRPr="00A3394C" w:rsidRDefault="00425686" w:rsidP="0070707D">
            <w:pPr>
              <w:jc w:val="center"/>
              <w:rPr>
                <w:b/>
                <w:bCs/>
                <w:color w:val="000000"/>
              </w:rPr>
            </w:pPr>
            <w:r w:rsidRPr="00A3394C">
              <w:rPr>
                <w:b/>
                <w:bCs/>
                <w:color w:val="000000"/>
              </w:rPr>
              <w:t>1.030</w:t>
            </w:r>
          </w:p>
        </w:tc>
        <w:tc>
          <w:tcPr>
            <w:tcW w:w="2089" w:type="dxa"/>
            <w:tcBorders>
              <w:top w:val="nil"/>
              <w:left w:val="nil"/>
              <w:bottom w:val="single" w:sz="4" w:space="0" w:color="auto"/>
              <w:right w:val="nil"/>
            </w:tcBorders>
            <w:vAlign w:val="center"/>
          </w:tcPr>
          <w:p w14:paraId="33C71367" w14:textId="77777777" w:rsidR="00425686" w:rsidRPr="00A3394C" w:rsidRDefault="00425686" w:rsidP="0070707D">
            <w:pPr>
              <w:jc w:val="center"/>
              <w:rPr>
                <w:b/>
                <w:bCs/>
                <w:color w:val="000000"/>
              </w:rPr>
            </w:pPr>
            <w:r w:rsidRPr="00A3394C">
              <w:rPr>
                <w:b/>
                <w:bCs/>
                <w:color w:val="000000"/>
              </w:rPr>
              <w:t>3.0</w:t>
            </w:r>
          </w:p>
        </w:tc>
      </w:tr>
    </w:tbl>
    <w:p w14:paraId="71188D38" w14:textId="77777777" w:rsidR="00425686" w:rsidRPr="00A3394C" w:rsidRDefault="00425686" w:rsidP="00425686">
      <w:pPr>
        <w:ind w:left="357"/>
        <w:jc w:val="both"/>
      </w:pPr>
    </w:p>
    <w:p w14:paraId="55EE9826" w14:textId="77777777" w:rsidR="00425686" w:rsidRPr="00A3394C" w:rsidRDefault="00425686" w:rsidP="00425686">
      <w:pPr>
        <w:jc w:val="both"/>
      </w:pPr>
    </w:p>
    <w:p w14:paraId="3D4FDEEB" w14:textId="77777777" w:rsidR="00425686" w:rsidRPr="00A3394C" w:rsidRDefault="00425686" w:rsidP="00425686">
      <w:pPr>
        <w:jc w:val="both"/>
        <w:rPr>
          <w:b/>
          <w:bCs/>
        </w:rPr>
      </w:pPr>
      <w:r w:rsidRPr="00A3394C">
        <w:rPr>
          <w:b/>
          <w:bCs/>
        </w:rPr>
        <w:t>References</w:t>
      </w:r>
    </w:p>
    <w:p w14:paraId="3C27B38A" w14:textId="77777777" w:rsidR="00425686" w:rsidRPr="00A3394C" w:rsidRDefault="00425686" w:rsidP="00425686">
      <w:pPr>
        <w:pStyle w:val="Odstavecseseznamem"/>
        <w:numPr>
          <w:ilvl w:val="0"/>
          <w:numId w:val="9"/>
        </w:numPr>
      </w:pPr>
      <w:r w:rsidRPr="00A3394C">
        <w:rPr>
          <w:i/>
          <w:iCs/>
        </w:rPr>
        <w:t>Hrubý domácí produkt (HDP) - Metodika</w:t>
      </w:r>
      <w:r w:rsidRPr="00A3394C">
        <w:t>. Online. Český statistický úřad. 2024. Available at: </w:t>
      </w:r>
      <w:hyperlink r:id="rId10" w:history="1">
        <w:r w:rsidRPr="00A3394C">
          <w:rPr>
            <w:rStyle w:val="Hypertextovodkaz"/>
          </w:rPr>
          <w:t>https://csu.gov.cz/hruby_domaci_produkt_-hdp-</w:t>
        </w:r>
      </w:hyperlink>
      <w:r w:rsidRPr="00A3394C">
        <w:t>. [Accessed: 2024-12-18].</w:t>
      </w:r>
    </w:p>
    <w:p w14:paraId="5A1F8AA0" w14:textId="77777777" w:rsidR="00425686" w:rsidRPr="00A3394C" w:rsidRDefault="00425686" w:rsidP="00425686">
      <w:pPr>
        <w:pStyle w:val="Odstavecseseznamem"/>
        <w:numPr>
          <w:ilvl w:val="0"/>
          <w:numId w:val="9"/>
        </w:numPr>
      </w:pPr>
      <w:r w:rsidRPr="00A3394C">
        <w:rPr>
          <w:i/>
          <w:iCs/>
        </w:rPr>
        <w:t>Real GDP per capita</w:t>
      </w:r>
      <w:r w:rsidRPr="00A3394C">
        <w:t>. Online. Eurostat. 2024. Available at: </w:t>
      </w:r>
      <w:hyperlink r:id="rId11" w:history="1">
        <w:r w:rsidRPr="00A3394C">
          <w:rPr>
            <w:rStyle w:val="Hypertextovodkaz"/>
          </w:rPr>
          <w:t>https://ec.europa.eu/eurostat/databrowser/view/sdg_08_10/default/table</w:t>
        </w:r>
      </w:hyperlink>
      <w:r w:rsidRPr="00A3394C">
        <w:t>. [Accessed: 2024-12-18].</w:t>
      </w:r>
    </w:p>
    <w:p w14:paraId="0715FFA2" w14:textId="77777777" w:rsidR="00425686" w:rsidRPr="00A3394C" w:rsidRDefault="00425686" w:rsidP="00425686"/>
    <w:p w14:paraId="71FCA5B7" w14:textId="77777777" w:rsidR="00425686" w:rsidRPr="00A3394C" w:rsidRDefault="00425686" w:rsidP="00425686"/>
    <w:p w14:paraId="046E62B5" w14:textId="77777777" w:rsidR="00425686" w:rsidRPr="00A3394C" w:rsidRDefault="00425686" w:rsidP="00425686"/>
    <w:p w14:paraId="19CD6BBC" w14:textId="77777777" w:rsidR="00425686" w:rsidRPr="00A3394C" w:rsidRDefault="00425686" w:rsidP="00425686"/>
    <w:p w14:paraId="78AAC4B0" w14:textId="77777777" w:rsidR="00425686" w:rsidRPr="00A3394C" w:rsidRDefault="00425686" w:rsidP="00425686">
      <w:r w:rsidRPr="00A3394C">
        <w:rPr>
          <w:i/>
          <w:iCs/>
          <w:highlight w:val="yellow"/>
        </w:rPr>
        <w:t>Poznámka:</w:t>
      </w:r>
      <w:r w:rsidRPr="00A3394C">
        <w:rPr>
          <w:highlight w:val="yellow"/>
        </w:rPr>
        <w:t xml:space="preserve"> Žlutě podbarvený text je zařazen pouze proto, aby příklad obsahoval všechny „myšlenky“, které obsahoval původní návrh příkladu. Osobně bych toto nezařazovala.</w:t>
      </w:r>
    </w:p>
    <w:p w14:paraId="3E460615" w14:textId="4A489962" w:rsidR="001639C0" w:rsidRPr="00A3394C" w:rsidRDefault="001639C0" w:rsidP="001639C0">
      <w:pPr>
        <w:jc w:val="both"/>
      </w:pPr>
    </w:p>
    <w:sectPr w:rsidR="001639C0" w:rsidRPr="00A3394C">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2A281" w14:textId="77777777" w:rsidR="00D20C26" w:rsidRDefault="00D20C26" w:rsidP="00665B0F">
      <w:r>
        <w:separator/>
      </w:r>
    </w:p>
  </w:endnote>
  <w:endnote w:type="continuationSeparator" w:id="0">
    <w:p w14:paraId="3097878E" w14:textId="77777777" w:rsidR="00D20C26" w:rsidRDefault="00D20C26" w:rsidP="0066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566414113"/>
      <w:docPartObj>
        <w:docPartGallery w:val="Page Numbers (Bottom of Page)"/>
        <w:docPartUnique/>
      </w:docPartObj>
    </w:sdtPr>
    <w:sdtContent>
      <w:p w14:paraId="54814044" w14:textId="65EDCEB0" w:rsidR="00825431" w:rsidRDefault="00825431" w:rsidP="003B5FF7">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714CB205" w14:textId="77777777" w:rsidR="00825431" w:rsidRDefault="0082543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823000284"/>
      <w:docPartObj>
        <w:docPartGallery w:val="Page Numbers (Bottom of Page)"/>
        <w:docPartUnique/>
      </w:docPartObj>
    </w:sdtPr>
    <w:sdtContent>
      <w:p w14:paraId="50F63CC3" w14:textId="74EF32DA" w:rsidR="00825431" w:rsidRDefault="00825431" w:rsidP="003B5FF7">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5</w:t>
        </w:r>
        <w:r>
          <w:rPr>
            <w:rStyle w:val="slostrnky"/>
          </w:rPr>
          <w:fldChar w:fldCharType="end"/>
        </w:r>
      </w:p>
    </w:sdtContent>
  </w:sdt>
  <w:p w14:paraId="5B8A3ADC" w14:textId="5EF82960" w:rsidR="00825431" w:rsidRDefault="00825431" w:rsidP="00825431">
    <w:pPr>
      <w:pStyle w:val="Zpa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6FEE1" w14:textId="77777777" w:rsidR="00D20C26" w:rsidRDefault="00D20C26" w:rsidP="00665B0F">
      <w:r>
        <w:separator/>
      </w:r>
    </w:p>
  </w:footnote>
  <w:footnote w:type="continuationSeparator" w:id="0">
    <w:p w14:paraId="213579CB" w14:textId="77777777" w:rsidR="00D20C26" w:rsidRDefault="00D20C26" w:rsidP="0066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A790" w14:textId="3644BE21" w:rsidR="004824CD" w:rsidRDefault="005B6567" w:rsidP="00825431">
    <w:r>
      <w:rPr>
        <w:b/>
        <w:bCs/>
      </w:rPr>
      <w:t xml:space="preserve">Description of GDP Trends   </w:t>
    </w:r>
    <w:r w:rsidR="00825431">
      <w:rPr>
        <w:b/>
        <w:bCs/>
      </w:rPr>
      <w:t xml:space="preserve">                                                              </w:t>
    </w:r>
    <w:r w:rsidR="00665B0F">
      <w:t>Martina Litschmannová</w:t>
    </w:r>
  </w:p>
  <w:p w14:paraId="304CE2FC" w14:textId="77777777" w:rsidR="00900EE5" w:rsidRPr="00900EE5" w:rsidRDefault="00900EE5" w:rsidP="008254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689"/>
    <w:multiLevelType w:val="hybridMultilevel"/>
    <w:tmpl w:val="D04456C0"/>
    <w:lvl w:ilvl="0" w:tplc="9436691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D6052B"/>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97048D"/>
    <w:multiLevelType w:val="hybridMultilevel"/>
    <w:tmpl w:val="744051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C5513E"/>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E305C54"/>
    <w:multiLevelType w:val="hybridMultilevel"/>
    <w:tmpl w:val="CC56BEB2"/>
    <w:lvl w:ilvl="0" w:tplc="89CA990C">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71B3D"/>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9717CC1"/>
    <w:multiLevelType w:val="hybridMultilevel"/>
    <w:tmpl w:val="4488A322"/>
    <w:lvl w:ilvl="0" w:tplc="04090001">
      <w:start w:val="1"/>
      <w:numFmt w:val="bullet"/>
      <w:pStyle w:val="ODR0"/>
      <w:lvlText w:val=""/>
      <w:lvlJc w:val="left"/>
      <w:pPr>
        <w:ind w:left="720" w:hanging="360"/>
      </w:pPr>
      <w:rPr>
        <w:rFonts w:ascii="Symbol" w:hAnsi="Symbol" w:hint="default"/>
      </w:rPr>
    </w:lvl>
    <w:lvl w:ilvl="1" w:tplc="03FEA48A">
      <w:start w:val="1"/>
      <w:numFmt w:val="bullet"/>
      <w:pStyle w:val="ODR1"/>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E1DC3"/>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DDD5EDE"/>
    <w:multiLevelType w:val="singleLevel"/>
    <w:tmpl w:val="04050001"/>
    <w:lvl w:ilvl="0">
      <w:start w:val="1"/>
      <w:numFmt w:val="bullet"/>
      <w:lvlText w:val=""/>
      <w:lvlJc w:val="left"/>
      <w:pPr>
        <w:tabs>
          <w:tab w:val="num" w:pos="360"/>
        </w:tabs>
        <w:ind w:left="360" w:hanging="360"/>
      </w:pPr>
      <w:rPr>
        <w:rFonts w:ascii="Symbol" w:hAnsi="Symbol" w:hint="default"/>
      </w:rPr>
    </w:lvl>
  </w:abstractNum>
  <w:num w:numId="1" w16cid:durableId="1683508695">
    <w:abstractNumId w:val="6"/>
  </w:num>
  <w:num w:numId="2" w16cid:durableId="2050061209">
    <w:abstractNumId w:val="7"/>
  </w:num>
  <w:num w:numId="3" w16cid:durableId="464204643">
    <w:abstractNumId w:val="8"/>
  </w:num>
  <w:num w:numId="4" w16cid:durableId="1527134840">
    <w:abstractNumId w:val="5"/>
  </w:num>
  <w:num w:numId="5" w16cid:durableId="1233656421">
    <w:abstractNumId w:val="3"/>
  </w:num>
  <w:num w:numId="6" w16cid:durableId="1333490950">
    <w:abstractNumId w:val="1"/>
  </w:num>
  <w:num w:numId="7" w16cid:durableId="1861581518">
    <w:abstractNumId w:val="2"/>
  </w:num>
  <w:num w:numId="8" w16cid:durableId="1883400917">
    <w:abstractNumId w:val="4"/>
  </w:num>
  <w:num w:numId="9" w16cid:durableId="173647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C0"/>
    <w:rsid w:val="000054CF"/>
    <w:rsid w:val="000065D0"/>
    <w:rsid w:val="00011363"/>
    <w:rsid w:val="000138E8"/>
    <w:rsid w:val="00015EBA"/>
    <w:rsid w:val="000234CF"/>
    <w:rsid w:val="00043EA5"/>
    <w:rsid w:val="00052658"/>
    <w:rsid w:val="00055F06"/>
    <w:rsid w:val="000710B5"/>
    <w:rsid w:val="0007179C"/>
    <w:rsid w:val="00077CB0"/>
    <w:rsid w:val="000800C6"/>
    <w:rsid w:val="0008206B"/>
    <w:rsid w:val="00084E76"/>
    <w:rsid w:val="00090BF6"/>
    <w:rsid w:val="00092F20"/>
    <w:rsid w:val="0009502E"/>
    <w:rsid w:val="000A1376"/>
    <w:rsid w:val="000A22C7"/>
    <w:rsid w:val="000A247E"/>
    <w:rsid w:val="000B44FF"/>
    <w:rsid w:val="000B5DFF"/>
    <w:rsid w:val="000B7A56"/>
    <w:rsid w:val="000C1409"/>
    <w:rsid w:val="000D0686"/>
    <w:rsid w:val="000F46EC"/>
    <w:rsid w:val="000F76F4"/>
    <w:rsid w:val="00106754"/>
    <w:rsid w:val="00113050"/>
    <w:rsid w:val="001135CF"/>
    <w:rsid w:val="00132794"/>
    <w:rsid w:val="00134498"/>
    <w:rsid w:val="001345B2"/>
    <w:rsid w:val="0013525F"/>
    <w:rsid w:val="00153E0E"/>
    <w:rsid w:val="00155460"/>
    <w:rsid w:val="00156D93"/>
    <w:rsid w:val="001639C0"/>
    <w:rsid w:val="00166E58"/>
    <w:rsid w:val="00175E02"/>
    <w:rsid w:val="001919B2"/>
    <w:rsid w:val="001928C9"/>
    <w:rsid w:val="00194BA1"/>
    <w:rsid w:val="001974CD"/>
    <w:rsid w:val="001A6E3D"/>
    <w:rsid w:val="001C7AE7"/>
    <w:rsid w:val="001D08F7"/>
    <w:rsid w:val="001E26BF"/>
    <w:rsid w:val="001E70CF"/>
    <w:rsid w:val="001F5D6A"/>
    <w:rsid w:val="0023194F"/>
    <w:rsid w:val="002335B1"/>
    <w:rsid w:val="00255F26"/>
    <w:rsid w:val="00265779"/>
    <w:rsid w:val="00282B2C"/>
    <w:rsid w:val="00283DC2"/>
    <w:rsid w:val="00285DD5"/>
    <w:rsid w:val="002A1D5B"/>
    <w:rsid w:val="002A22B1"/>
    <w:rsid w:val="002A55D6"/>
    <w:rsid w:val="002B0AB9"/>
    <w:rsid w:val="002B5DF5"/>
    <w:rsid w:val="002C4170"/>
    <w:rsid w:val="002C7623"/>
    <w:rsid w:val="002C7EFE"/>
    <w:rsid w:val="002E1602"/>
    <w:rsid w:val="002E4C3E"/>
    <w:rsid w:val="002E5AFD"/>
    <w:rsid w:val="002E7760"/>
    <w:rsid w:val="002F7144"/>
    <w:rsid w:val="003021B2"/>
    <w:rsid w:val="00312D9D"/>
    <w:rsid w:val="00321B04"/>
    <w:rsid w:val="00322D95"/>
    <w:rsid w:val="00324FA3"/>
    <w:rsid w:val="00341DBF"/>
    <w:rsid w:val="00356D59"/>
    <w:rsid w:val="00361331"/>
    <w:rsid w:val="0037741A"/>
    <w:rsid w:val="00384D3C"/>
    <w:rsid w:val="003B381F"/>
    <w:rsid w:val="003C7BCA"/>
    <w:rsid w:val="003D6525"/>
    <w:rsid w:val="003D733A"/>
    <w:rsid w:val="003E130D"/>
    <w:rsid w:val="003E5A90"/>
    <w:rsid w:val="003E62CD"/>
    <w:rsid w:val="003F0517"/>
    <w:rsid w:val="003F2CF8"/>
    <w:rsid w:val="003F63FD"/>
    <w:rsid w:val="003F6720"/>
    <w:rsid w:val="00401DA3"/>
    <w:rsid w:val="00405516"/>
    <w:rsid w:val="00410417"/>
    <w:rsid w:val="00421D98"/>
    <w:rsid w:val="00424150"/>
    <w:rsid w:val="004251B9"/>
    <w:rsid w:val="00425686"/>
    <w:rsid w:val="004339DD"/>
    <w:rsid w:val="00441F5C"/>
    <w:rsid w:val="00452423"/>
    <w:rsid w:val="00454108"/>
    <w:rsid w:val="00473652"/>
    <w:rsid w:val="004824CD"/>
    <w:rsid w:val="00483D49"/>
    <w:rsid w:val="004A3EE5"/>
    <w:rsid w:val="004B237E"/>
    <w:rsid w:val="004C4A20"/>
    <w:rsid w:val="004C6C7D"/>
    <w:rsid w:val="00517426"/>
    <w:rsid w:val="0056459C"/>
    <w:rsid w:val="00577579"/>
    <w:rsid w:val="0058505C"/>
    <w:rsid w:val="005879BC"/>
    <w:rsid w:val="005A3BC1"/>
    <w:rsid w:val="005A4A11"/>
    <w:rsid w:val="005B6567"/>
    <w:rsid w:val="005C534E"/>
    <w:rsid w:val="005E68F4"/>
    <w:rsid w:val="00613166"/>
    <w:rsid w:val="006212D6"/>
    <w:rsid w:val="00641436"/>
    <w:rsid w:val="00643AC3"/>
    <w:rsid w:val="00645D36"/>
    <w:rsid w:val="00661154"/>
    <w:rsid w:val="006651FD"/>
    <w:rsid w:val="00665B0F"/>
    <w:rsid w:val="0066660F"/>
    <w:rsid w:val="006962C2"/>
    <w:rsid w:val="00697545"/>
    <w:rsid w:val="006A071E"/>
    <w:rsid w:val="006A0F57"/>
    <w:rsid w:val="006B522B"/>
    <w:rsid w:val="006D51F3"/>
    <w:rsid w:val="006E247A"/>
    <w:rsid w:val="006F1F5C"/>
    <w:rsid w:val="006F2268"/>
    <w:rsid w:val="006F497D"/>
    <w:rsid w:val="00707BCE"/>
    <w:rsid w:val="00710CA9"/>
    <w:rsid w:val="00712F05"/>
    <w:rsid w:val="0073444D"/>
    <w:rsid w:val="007372CB"/>
    <w:rsid w:val="00751F5E"/>
    <w:rsid w:val="00760111"/>
    <w:rsid w:val="007610B0"/>
    <w:rsid w:val="007621DB"/>
    <w:rsid w:val="00762CC8"/>
    <w:rsid w:val="007634CC"/>
    <w:rsid w:val="00763568"/>
    <w:rsid w:val="00766DB2"/>
    <w:rsid w:val="00771D0E"/>
    <w:rsid w:val="00773C55"/>
    <w:rsid w:val="00775486"/>
    <w:rsid w:val="00796433"/>
    <w:rsid w:val="007A372D"/>
    <w:rsid w:val="007C2237"/>
    <w:rsid w:val="007C6580"/>
    <w:rsid w:val="007D15AB"/>
    <w:rsid w:val="007E5D14"/>
    <w:rsid w:val="007F4F45"/>
    <w:rsid w:val="00800A42"/>
    <w:rsid w:val="00806C8D"/>
    <w:rsid w:val="0081234E"/>
    <w:rsid w:val="00813C57"/>
    <w:rsid w:val="00815D01"/>
    <w:rsid w:val="008176FE"/>
    <w:rsid w:val="008232A2"/>
    <w:rsid w:val="008252BE"/>
    <w:rsid w:val="00825431"/>
    <w:rsid w:val="008376DC"/>
    <w:rsid w:val="008415DC"/>
    <w:rsid w:val="0084542F"/>
    <w:rsid w:val="008476E7"/>
    <w:rsid w:val="00852BE5"/>
    <w:rsid w:val="0085322C"/>
    <w:rsid w:val="00853F9D"/>
    <w:rsid w:val="00855754"/>
    <w:rsid w:val="00856786"/>
    <w:rsid w:val="00861DDC"/>
    <w:rsid w:val="00867B63"/>
    <w:rsid w:val="008721DE"/>
    <w:rsid w:val="00872600"/>
    <w:rsid w:val="00876A32"/>
    <w:rsid w:val="00892794"/>
    <w:rsid w:val="00893B01"/>
    <w:rsid w:val="008962E1"/>
    <w:rsid w:val="008A6B11"/>
    <w:rsid w:val="008C12E8"/>
    <w:rsid w:val="008D31DB"/>
    <w:rsid w:val="008E0A00"/>
    <w:rsid w:val="008E3D83"/>
    <w:rsid w:val="008E490C"/>
    <w:rsid w:val="008F2464"/>
    <w:rsid w:val="008F6930"/>
    <w:rsid w:val="009000C3"/>
    <w:rsid w:val="00900EE5"/>
    <w:rsid w:val="009401B5"/>
    <w:rsid w:val="00941A03"/>
    <w:rsid w:val="00945F9E"/>
    <w:rsid w:val="00950CB2"/>
    <w:rsid w:val="00985484"/>
    <w:rsid w:val="00995468"/>
    <w:rsid w:val="009A40A0"/>
    <w:rsid w:val="009D2C7A"/>
    <w:rsid w:val="009E04A3"/>
    <w:rsid w:val="009E15D9"/>
    <w:rsid w:val="009E4AAF"/>
    <w:rsid w:val="009E4F60"/>
    <w:rsid w:val="009E6455"/>
    <w:rsid w:val="009E7C50"/>
    <w:rsid w:val="009F6CDF"/>
    <w:rsid w:val="00A021B1"/>
    <w:rsid w:val="00A30C3A"/>
    <w:rsid w:val="00A31ABB"/>
    <w:rsid w:val="00A3394C"/>
    <w:rsid w:val="00A40950"/>
    <w:rsid w:val="00A40B2F"/>
    <w:rsid w:val="00A417E9"/>
    <w:rsid w:val="00A43F57"/>
    <w:rsid w:val="00A62A83"/>
    <w:rsid w:val="00A7129A"/>
    <w:rsid w:val="00A922ED"/>
    <w:rsid w:val="00A96613"/>
    <w:rsid w:val="00A979A7"/>
    <w:rsid w:val="00AA7381"/>
    <w:rsid w:val="00AB2702"/>
    <w:rsid w:val="00AB44FD"/>
    <w:rsid w:val="00AC72F0"/>
    <w:rsid w:val="00AC7E1C"/>
    <w:rsid w:val="00AD07FD"/>
    <w:rsid w:val="00AD0F4E"/>
    <w:rsid w:val="00AF2962"/>
    <w:rsid w:val="00B017BB"/>
    <w:rsid w:val="00B02CC9"/>
    <w:rsid w:val="00B15703"/>
    <w:rsid w:val="00B24166"/>
    <w:rsid w:val="00B244F8"/>
    <w:rsid w:val="00B40E9C"/>
    <w:rsid w:val="00B4139B"/>
    <w:rsid w:val="00B50B22"/>
    <w:rsid w:val="00B56274"/>
    <w:rsid w:val="00B57531"/>
    <w:rsid w:val="00B634B1"/>
    <w:rsid w:val="00B63520"/>
    <w:rsid w:val="00B729A4"/>
    <w:rsid w:val="00B83F0B"/>
    <w:rsid w:val="00B8613D"/>
    <w:rsid w:val="00B9194F"/>
    <w:rsid w:val="00B93CC2"/>
    <w:rsid w:val="00B96730"/>
    <w:rsid w:val="00B9752B"/>
    <w:rsid w:val="00BA03AD"/>
    <w:rsid w:val="00BA2B85"/>
    <w:rsid w:val="00BB6DA8"/>
    <w:rsid w:val="00BC081D"/>
    <w:rsid w:val="00BD0582"/>
    <w:rsid w:val="00BD2357"/>
    <w:rsid w:val="00BE21ED"/>
    <w:rsid w:val="00BE4346"/>
    <w:rsid w:val="00BE7969"/>
    <w:rsid w:val="00BF0F90"/>
    <w:rsid w:val="00BF6991"/>
    <w:rsid w:val="00C00117"/>
    <w:rsid w:val="00C12A95"/>
    <w:rsid w:val="00C27171"/>
    <w:rsid w:val="00C27C95"/>
    <w:rsid w:val="00C37BD5"/>
    <w:rsid w:val="00C45233"/>
    <w:rsid w:val="00C522EC"/>
    <w:rsid w:val="00C54049"/>
    <w:rsid w:val="00C55E59"/>
    <w:rsid w:val="00C55EB9"/>
    <w:rsid w:val="00C60A46"/>
    <w:rsid w:val="00C62AEF"/>
    <w:rsid w:val="00C63258"/>
    <w:rsid w:val="00C85C65"/>
    <w:rsid w:val="00C92CF6"/>
    <w:rsid w:val="00C9483A"/>
    <w:rsid w:val="00CA2783"/>
    <w:rsid w:val="00CA7153"/>
    <w:rsid w:val="00CB38C6"/>
    <w:rsid w:val="00CB42A6"/>
    <w:rsid w:val="00CD30EC"/>
    <w:rsid w:val="00CD3F2E"/>
    <w:rsid w:val="00CD75DD"/>
    <w:rsid w:val="00CE3160"/>
    <w:rsid w:val="00CF100F"/>
    <w:rsid w:val="00CF1F1E"/>
    <w:rsid w:val="00D039EB"/>
    <w:rsid w:val="00D20C26"/>
    <w:rsid w:val="00D25F9E"/>
    <w:rsid w:val="00D27E71"/>
    <w:rsid w:val="00D32267"/>
    <w:rsid w:val="00D35715"/>
    <w:rsid w:val="00D52F78"/>
    <w:rsid w:val="00D530BB"/>
    <w:rsid w:val="00D54D03"/>
    <w:rsid w:val="00D75176"/>
    <w:rsid w:val="00DA796D"/>
    <w:rsid w:val="00DB1063"/>
    <w:rsid w:val="00DC4F15"/>
    <w:rsid w:val="00DC5F6A"/>
    <w:rsid w:val="00DD26D6"/>
    <w:rsid w:val="00DD64C6"/>
    <w:rsid w:val="00DE589F"/>
    <w:rsid w:val="00DE60AA"/>
    <w:rsid w:val="00DF0EC2"/>
    <w:rsid w:val="00DF2728"/>
    <w:rsid w:val="00DF2B66"/>
    <w:rsid w:val="00E1469B"/>
    <w:rsid w:val="00E15F9A"/>
    <w:rsid w:val="00E275F7"/>
    <w:rsid w:val="00E32A74"/>
    <w:rsid w:val="00E35EB2"/>
    <w:rsid w:val="00E50D9D"/>
    <w:rsid w:val="00E512AF"/>
    <w:rsid w:val="00E53403"/>
    <w:rsid w:val="00E67668"/>
    <w:rsid w:val="00E72C31"/>
    <w:rsid w:val="00E84005"/>
    <w:rsid w:val="00E90B00"/>
    <w:rsid w:val="00E963FB"/>
    <w:rsid w:val="00E969D7"/>
    <w:rsid w:val="00EB213F"/>
    <w:rsid w:val="00EC126A"/>
    <w:rsid w:val="00EC611A"/>
    <w:rsid w:val="00ED3959"/>
    <w:rsid w:val="00EF0856"/>
    <w:rsid w:val="00EF17C7"/>
    <w:rsid w:val="00EF37E7"/>
    <w:rsid w:val="00F033CA"/>
    <w:rsid w:val="00F07D55"/>
    <w:rsid w:val="00F117CF"/>
    <w:rsid w:val="00F25B42"/>
    <w:rsid w:val="00F353A6"/>
    <w:rsid w:val="00F4771E"/>
    <w:rsid w:val="00F55762"/>
    <w:rsid w:val="00F55D5A"/>
    <w:rsid w:val="00F67EAB"/>
    <w:rsid w:val="00F7107F"/>
    <w:rsid w:val="00F775D5"/>
    <w:rsid w:val="00F91ADF"/>
    <w:rsid w:val="00F93F41"/>
    <w:rsid w:val="00F94B9A"/>
    <w:rsid w:val="00FA3B52"/>
    <w:rsid w:val="00FA4212"/>
    <w:rsid w:val="00FB3074"/>
    <w:rsid w:val="00FB6FE9"/>
    <w:rsid w:val="00FC3F0B"/>
    <w:rsid w:val="00FC658E"/>
    <w:rsid w:val="00FD57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1226"/>
  <w15:chartTrackingRefBased/>
  <w15:docId w15:val="{4372E20E-FA96-5749-B054-936842DA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85DD5"/>
    <w:rPr>
      <w:rFonts w:ascii="Times New Roman" w:eastAsia="Times New Roman" w:hAnsi="Times New Roman" w:cs="Times New Roman"/>
      <w:kern w:val="0"/>
      <w:lang w:val="en-US" w:eastAsia="en-GB"/>
      <w14:ligatures w14:val="none"/>
    </w:rPr>
  </w:style>
  <w:style w:type="paragraph" w:styleId="Nadpis1">
    <w:name w:val="heading 1"/>
    <w:basedOn w:val="Normln"/>
    <w:next w:val="Normln"/>
    <w:link w:val="Nadpis1Char"/>
    <w:uiPriority w:val="9"/>
    <w:qFormat/>
    <w:rsid w:val="00163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163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1639C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639C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639C0"/>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639C0"/>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639C0"/>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639C0"/>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639C0"/>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639C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1639C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1639C0"/>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639C0"/>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639C0"/>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639C0"/>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639C0"/>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639C0"/>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639C0"/>
    <w:rPr>
      <w:rFonts w:eastAsiaTheme="majorEastAsia" w:cstheme="majorBidi"/>
      <w:color w:val="272727" w:themeColor="text1" w:themeTint="D8"/>
    </w:rPr>
  </w:style>
  <w:style w:type="paragraph" w:styleId="Nzev">
    <w:name w:val="Title"/>
    <w:basedOn w:val="Normln"/>
    <w:next w:val="Normln"/>
    <w:link w:val="NzevChar"/>
    <w:uiPriority w:val="10"/>
    <w:qFormat/>
    <w:rsid w:val="001639C0"/>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639C0"/>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639C0"/>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639C0"/>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639C0"/>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1639C0"/>
    <w:rPr>
      <w:i/>
      <w:iCs/>
      <w:color w:val="404040" w:themeColor="text1" w:themeTint="BF"/>
    </w:rPr>
  </w:style>
  <w:style w:type="paragraph" w:styleId="Odstavecseseznamem">
    <w:name w:val="List Paragraph"/>
    <w:basedOn w:val="Normln"/>
    <w:uiPriority w:val="34"/>
    <w:qFormat/>
    <w:rsid w:val="001639C0"/>
    <w:pPr>
      <w:ind w:left="720"/>
      <w:contextualSpacing/>
    </w:pPr>
  </w:style>
  <w:style w:type="character" w:styleId="Zdraznnintenzivn">
    <w:name w:val="Intense Emphasis"/>
    <w:basedOn w:val="Standardnpsmoodstavce"/>
    <w:uiPriority w:val="21"/>
    <w:qFormat/>
    <w:rsid w:val="001639C0"/>
    <w:rPr>
      <w:i/>
      <w:iCs/>
      <w:color w:val="0F4761" w:themeColor="accent1" w:themeShade="BF"/>
    </w:rPr>
  </w:style>
  <w:style w:type="paragraph" w:styleId="Vrazncitt">
    <w:name w:val="Intense Quote"/>
    <w:basedOn w:val="Normln"/>
    <w:next w:val="Normln"/>
    <w:link w:val="VrazncittChar"/>
    <w:uiPriority w:val="30"/>
    <w:qFormat/>
    <w:rsid w:val="00163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639C0"/>
    <w:rPr>
      <w:i/>
      <w:iCs/>
      <w:color w:val="0F4761" w:themeColor="accent1" w:themeShade="BF"/>
    </w:rPr>
  </w:style>
  <w:style w:type="character" w:styleId="Odkazintenzivn">
    <w:name w:val="Intense Reference"/>
    <w:basedOn w:val="Standardnpsmoodstavce"/>
    <w:uiPriority w:val="32"/>
    <w:qFormat/>
    <w:rsid w:val="001639C0"/>
    <w:rPr>
      <w:b/>
      <w:bCs/>
      <w:smallCaps/>
      <w:color w:val="0F4761" w:themeColor="accent1" w:themeShade="BF"/>
      <w:spacing w:val="5"/>
    </w:rPr>
  </w:style>
  <w:style w:type="character" w:styleId="Hypertextovodkaz">
    <w:name w:val="Hyperlink"/>
    <w:basedOn w:val="Standardnpsmoodstavce"/>
    <w:uiPriority w:val="99"/>
    <w:unhideWhenUsed/>
    <w:rsid w:val="001639C0"/>
    <w:rPr>
      <w:color w:val="467886" w:themeColor="hyperlink"/>
      <w:u w:val="single"/>
    </w:rPr>
  </w:style>
  <w:style w:type="character" w:styleId="Nevyeenzmnka">
    <w:name w:val="Unresolved Mention"/>
    <w:basedOn w:val="Standardnpsmoodstavce"/>
    <w:uiPriority w:val="99"/>
    <w:semiHidden/>
    <w:unhideWhenUsed/>
    <w:rsid w:val="001639C0"/>
    <w:rPr>
      <w:color w:val="605E5C"/>
      <w:shd w:val="clear" w:color="auto" w:fill="E1DFDD"/>
    </w:rPr>
  </w:style>
  <w:style w:type="character" w:styleId="Zstupntext">
    <w:name w:val="Placeholder Text"/>
    <w:basedOn w:val="Standardnpsmoodstavce"/>
    <w:uiPriority w:val="99"/>
    <w:semiHidden/>
    <w:rsid w:val="001639C0"/>
    <w:rPr>
      <w:color w:val="666666"/>
    </w:rPr>
  </w:style>
  <w:style w:type="paragraph" w:styleId="Zpat">
    <w:name w:val="footer"/>
    <w:basedOn w:val="Normln"/>
    <w:link w:val="ZpatChar"/>
    <w:uiPriority w:val="99"/>
    <w:rsid w:val="001639C0"/>
    <w:pPr>
      <w:tabs>
        <w:tab w:val="center" w:pos="4703"/>
        <w:tab w:val="right" w:pos="9406"/>
      </w:tabs>
      <w:ind w:firstLine="360"/>
      <w:jc w:val="both"/>
    </w:pPr>
  </w:style>
  <w:style w:type="character" w:customStyle="1" w:styleId="ZpatChar">
    <w:name w:val="Zápatí Char"/>
    <w:basedOn w:val="Standardnpsmoodstavce"/>
    <w:link w:val="Zpat"/>
    <w:uiPriority w:val="99"/>
    <w:rsid w:val="001639C0"/>
    <w:rPr>
      <w:rFonts w:ascii="Times New Roman" w:eastAsia="Times New Roman" w:hAnsi="Times New Roman" w:cs="Times New Roman"/>
      <w:kern w:val="0"/>
      <w:lang w:val="cs-CZ"/>
      <w14:ligatures w14:val="none"/>
    </w:rPr>
  </w:style>
  <w:style w:type="paragraph" w:customStyle="1" w:styleId="Norm2">
    <w:name w:val="Norm2"/>
    <w:basedOn w:val="Normln"/>
    <w:link w:val="Norm2Char"/>
    <w:qFormat/>
    <w:rsid w:val="001639C0"/>
    <w:pPr>
      <w:ind w:left="357"/>
      <w:jc w:val="both"/>
    </w:pPr>
    <w:rPr>
      <w:lang w:eastAsia="cs-CZ"/>
    </w:rPr>
  </w:style>
  <w:style w:type="character" w:customStyle="1" w:styleId="Norm2Char">
    <w:name w:val="Norm2 Char"/>
    <w:basedOn w:val="Standardnpsmoodstavce"/>
    <w:link w:val="Norm2"/>
    <w:rsid w:val="001639C0"/>
    <w:rPr>
      <w:rFonts w:ascii="Times New Roman" w:eastAsia="Times New Roman" w:hAnsi="Times New Roman" w:cs="Times New Roman"/>
      <w:kern w:val="0"/>
      <w:lang w:val="cs-CZ" w:eastAsia="cs-CZ"/>
      <w14:ligatures w14:val="none"/>
    </w:rPr>
  </w:style>
  <w:style w:type="paragraph" w:customStyle="1" w:styleId="ODR0">
    <w:name w:val="ODR0"/>
    <w:basedOn w:val="Odstavecseseznamem"/>
    <w:link w:val="ODR0Char"/>
    <w:qFormat/>
    <w:rsid w:val="001639C0"/>
    <w:pPr>
      <w:numPr>
        <w:numId w:val="1"/>
      </w:numPr>
      <w:ind w:left="357" w:hanging="357"/>
      <w:jc w:val="both"/>
    </w:pPr>
    <w:rPr>
      <w:lang w:eastAsia="cs-CZ"/>
    </w:rPr>
  </w:style>
  <w:style w:type="character" w:customStyle="1" w:styleId="ODR0Char">
    <w:name w:val="ODR0 Char"/>
    <w:basedOn w:val="Standardnpsmoodstavce"/>
    <w:link w:val="ODR0"/>
    <w:rsid w:val="001639C0"/>
    <w:rPr>
      <w:rFonts w:ascii="Times New Roman" w:eastAsia="Times New Roman" w:hAnsi="Times New Roman" w:cs="Times New Roman"/>
      <w:kern w:val="0"/>
      <w:lang w:val="cs-CZ" w:eastAsia="cs-CZ"/>
      <w14:ligatures w14:val="none"/>
    </w:rPr>
  </w:style>
  <w:style w:type="paragraph" w:customStyle="1" w:styleId="ODR1">
    <w:name w:val="ODR1"/>
    <w:basedOn w:val="ODR0"/>
    <w:qFormat/>
    <w:rsid w:val="001639C0"/>
    <w:pPr>
      <w:numPr>
        <w:ilvl w:val="1"/>
      </w:numPr>
      <w:tabs>
        <w:tab w:val="num" w:pos="360"/>
      </w:tabs>
      <w:ind w:left="714" w:hanging="357"/>
    </w:pPr>
    <w:rPr>
      <w:bCs/>
    </w:rPr>
  </w:style>
  <w:style w:type="paragraph" w:styleId="Zhlav">
    <w:name w:val="header"/>
    <w:basedOn w:val="Normln"/>
    <w:link w:val="ZhlavChar"/>
    <w:uiPriority w:val="99"/>
    <w:unhideWhenUsed/>
    <w:rsid w:val="00665B0F"/>
    <w:pPr>
      <w:tabs>
        <w:tab w:val="center" w:pos="4513"/>
        <w:tab w:val="right" w:pos="9026"/>
      </w:tabs>
    </w:pPr>
  </w:style>
  <w:style w:type="character" w:customStyle="1" w:styleId="ZhlavChar">
    <w:name w:val="Záhlaví Char"/>
    <w:basedOn w:val="Standardnpsmoodstavce"/>
    <w:link w:val="Zhlav"/>
    <w:uiPriority w:val="99"/>
    <w:rsid w:val="00665B0F"/>
  </w:style>
  <w:style w:type="character" w:styleId="slostrnky">
    <w:name w:val="page number"/>
    <w:basedOn w:val="Standardnpsmoodstavce"/>
    <w:uiPriority w:val="99"/>
    <w:semiHidden/>
    <w:unhideWhenUsed/>
    <w:rsid w:val="00825431"/>
  </w:style>
  <w:style w:type="paragraph" w:styleId="Titulek">
    <w:name w:val="caption"/>
    <w:basedOn w:val="Normln"/>
    <w:next w:val="Normln"/>
    <w:uiPriority w:val="35"/>
    <w:unhideWhenUsed/>
    <w:qFormat/>
    <w:rsid w:val="000B5DFF"/>
    <w:pPr>
      <w:spacing w:after="200"/>
    </w:pPr>
    <w:rPr>
      <w:i/>
      <w:iCs/>
      <w:color w:val="0E2841" w:themeColor="text2"/>
      <w:sz w:val="18"/>
      <w:szCs w:val="18"/>
    </w:rPr>
  </w:style>
  <w:style w:type="paragraph" w:styleId="Revize">
    <w:name w:val="Revision"/>
    <w:hidden/>
    <w:uiPriority w:val="99"/>
    <w:semiHidden/>
    <w:rsid w:val="00710CA9"/>
    <w:rPr>
      <w:rFonts w:ascii="Times New Roman" w:eastAsia="Times New Roman" w:hAnsi="Times New Roman" w:cs="Times New Roman"/>
      <w:kern w:val="0"/>
      <w:lang w:val="en-US" w:eastAsia="en-GB"/>
      <w14:ligatures w14:val="none"/>
    </w:rPr>
  </w:style>
  <w:style w:type="paragraph" w:styleId="Normlnweb">
    <w:name w:val="Normal (Web)"/>
    <w:basedOn w:val="Normln"/>
    <w:uiPriority w:val="99"/>
    <w:semiHidden/>
    <w:unhideWhenUsed/>
    <w:rsid w:val="003F6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915779">
      <w:bodyDiv w:val="1"/>
      <w:marLeft w:val="0"/>
      <w:marRight w:val="0"/>
      <w:marTop w:val="0"/>
      <w:marBottom w:val="0"/>
      <w:divBdr>
        <w:top w:val="none" w:sz="0" w:space="0" w:color="auto"/>
        <w:left w:val="none" w:sz="0" w:space="0" w:color="auto"/>
        <w:bottom w:val="none" w:sz="0" w:space="0" w:color="auto"/>
        <w:right w:val="none" w:sz="0" w:space="0" w:color="auto"/>
      </w:divBdr>
    </w:div>
    <w:div w:id="634221030">
      <w:bodyDiv w:val="1"/>
      <w:marLeft w:val="0"/>
      <w:marRight w:val="0"/>
      <w:marTop w:val="0"/>
      <w:marBottom w:val="0"/>
      <w:divBdr>
        <w:top w:val="none" w:sz="0" w:space="0" w:color="auto"/>
        <w:left w:val="none" w:sz="0" w:space="0" w:color="auto"/>
        <w:bottom w:val="none" w:sz="0" w:space="0" w:color="auto"/>
        <w:right w:val="none" w:sz="0" w:space="0" w:color="auto"/>
      </w:divBdr>
    </w:div>
    <w:div w:id="669213985">
      <w:bodyDiv w:val="1"/>
      <w:marLeft w:val="0"/>
      <w:marRight w:val="0"/>
      <w:marTop w:val="0"/>
      <w:marBottom w:val="0"/>
      <w:divBdr>
        <w:top w:val="none" w:sz="0" w:space="0" w:color="auto"/>
        <w:left w:val="none" w:sz="0" w:space="0" w:color="auto"/>
        <w:bottom w:val="none" w:sz="0" w:space="0" w:color="auto"/>
        <w:right w:val="none" w:sz="0" w:space="0" w:color="auto"/>
      </w:divBdr>
    </w:div>
    <w:div w:id="1236932635">
      <w:bodyDiv w:val="1"/>
      <w:marLeft w:val="0"/>
      <w:marRight w:val="0"/>
      <w:marTop w:val="0"/>
      <w:marBottom w:val="0"/>
      <w:divBdr>
        <w:top w:val="none" w:sz="0" w:space="0" w:color="auto"/>
        <w:left w:val="none" w:sz="0" w:space="0" w:color="auto"/>
        <w:bottom w:val="none" w:sz="0" w:space="0" w:color="auto"/>
        <w:right w:val="none" w:sz="0" w:space="0" w:color="auto"/>
      </w:divBdr>
      <w:divsChild>
        <w:div w:id="906263663">
          <w:marLeft w:val="0"/>
          <w:marRight w:val="0"/>
          <w:marTop w:val="0"/>
          <w:marBottom w:val="150"/>
          <w:divBdr>
            <w:top w:val="none" w:sz="0" w:space="0" w:color="auto"/>
            <w:left w:val="none" w:sz="0" w:space="0" w:color="auto"/>
            <w:bottom w:val="none" w:sz="0" w:space="0" w:color="auto"/>
            <w:right w:val="none" w:sz="0" w:space="0" w:color="auto"/>
          </w:divBdr>
        </w:div>
      </w:divsChild>
    </w:div>
    <w:div w:id="1492215331">
      <w:bodyDiv w:val="1"/>
      <w:marLeft w:val="0"/>
      <w:marRight w:val="0"/>
      <w:marTop w:val="0"/>
      <w:marBottom w:val="0"/>
      <w:divBdr>
        <w:top w:val="none" w:sz="0" w:space="0" w:color="auto"/>
        <w:left w:val="none" w:sz="0" w:space="0" w:color="auto"/>
        <w:bottom w:val="none" w:sz="0" w:space="0" w:color="auto"/>
        <w:right w:val="none" w:sz="0" w:space="0" w:color="auto"/>
      </w:divBdr>
    </w:div>
    <w:div w:id="1514176462">
      <w:bodyDiv w:val="1"/>
      <w:marLeft w:val="0"/>
      <w:marRight w:val="0"/>
      <w:marTop w:val="0"/>
      <w:marBottom w:val="0"/>
      <w:divBdr>
        <w:top w:val="none" w:sz="0" w:space="0" w:color="auto"/>
        <w:left w:val="none" w:sz="0" w:space="0" w:color="auto"/>
        <w:bottom w:val="none" w:sz="0" w:space="0" w:color="auto"/>
        <w:right w:val="none" w:sz="0" w:space="0" w:color="auto"/>
      </w:divBdr>
    </w:div>
    <w:div w:id="1531528049">
      <w:bodyDiv w:val="1"/>
      <w:marLeft w:val="0"/>
      <w:marRight w:val="0"/>
      <w:marTop w:val="0"/>
      <w:marBottom w:val="0"/>
      <w:divBdr>
        <w:top w:val="none" w:sz="0" w:space="0" w:color="auto"/>
        <w:left w:val="none" w:sz="0" w:space="0" w:color="auto"/>
        <w:bottom w:val="none" w:sz="0" w:space="0" w:color="auto"/>
        <w:right w:val="none" w:sz="0" w:space="0" w:color="auto"/>
      </w:divBdr>
    </w:div>
    <w:div w:id="1561403265">
      <w:bodyDiv w:val="1"/>
      <w:marLeft w:val="0"/>
      <w:marRight w:val="0"/>
      <w:marTop w:val="0"/>
      <w:marBottom w:val="0"/>
      <w:divBdr>
        <w:top w:val="none" w:sz="0" w:space="0" w:color="auto"/>
        <w:left w:val="none" w:sz="0" w:space="0" w:color="auto"/>
        <w:bottom w:val="none" w:sz="0" w:space="0" w:color="auto"/>
        <w:right w:val="none" w:sz="0" w:space="0" w:color="auto"/>
      </w:divBdr>
    </w:div>
    <w:div w:id="1743211200">
      <w:bodyDiv w:val="1"/>
      <w:marLeft w:val="0"/>
      <w:marRight w:val="0"/>
      <w:marTop w:val="0"/>
      <w:marBottom w:val="0"/>
      <w:divBdr>
        <w:top w:val="none" w:sz="0" w:space="0" w:color="auto"/>
        <w:left w:val="none" w:sz="0" w:space="0" w:color="auto"/>
        <w:bottom w:val="none" w:sz="0" w:space="0" w:color="auto"/>
        <w:right w:val="none" w:sz="0" w:space="0" w:color="auto"/>
      </w:divBdr>
    </w:div>
    <w:div w:id="1889369523">
      <w:bodyDiv w:val="1"/>
      <w:marLeft w:val="0"/>
      <w:marRight w:val="0"/>
      <w:marTop w:val="0"/>
      <w:marBottom w:val="0"/>
      <w:divBdr>
        <w:top w:val="none" w:sz="0" w:space="0" w:color="auto"/>
        <w:left w:val="none" w:sz="0" w:space="0" w:color="auto"/>
        <w:bottom w:val="none" w:sz="0" w:space="0" w:color="auto"/>
        <w:right w:val="none" w:sz="0" w:space="0" w:color="auto"/>
      </w:divBdr>
      <w:divsChild>
        <w:div w:id="2068256232">
          <w:marLeft w:val="0"/>
          <w:marRight w:val="0"/>
          <w:marTop w:val="0"/>
          <w:marBottom w:val="150"/>
          <w:divBdr>
            <w:top w:val="none" w:sz="0" w:space="0" w:color="auto"/>
            <w:left w:val="none" w:sz="0" w:space="0" w:color="auto"/>
            <w:bottom w:val="none" w:sz="0" w:space="0" w:color="auto"/>
            <w:right w:val="none" w:sz="0" w:space="0" w:color="auto"/>
          </w:divBdr>
        </w:div>
      </w:divsChild>
    </w:div>
    <w:div w:id="1898130309">
      <w:bodyDiv w:val="1"/>
      <w:marLeft w:val="0"/>
      <w:marRight w:val="0"/>
      <w:marTop w:val="0"/>
      <w:marBottom w:val="0"/>
      <w:divBdr>
        <w:top w:val="none" w:sz="0" w:space="0" w:color="auto"/>
        <w:left w:val="none" w:sz="0" w:space="0" w:color="auto"/>
        <w:bottom w:val="none" w:sz="0" w:space="0" w:color="auto"/>
        <w:right w:val="none" w:sz="0" w:space="0" w:color="auto"/>
      </w:divBdr>
    </w:div>
    <w:div w:id="21105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sdg_08_10/default/tab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u.gov.cz/hruby_domaci_produkt_-hd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072B-5D78-9848-BCB5-14278A3D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6</Pages>
  <Words>1522</Words>
  <Characters>8983</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Litschmannova Martina</dc:creator>
  <cp:keywords/>
  <dc:description/>
  <cp:lastModifiedBy>Kovarova Tereza</cp:lastModifiedBy>
  <cp:revision>159</cp:revision>
  <cp:lastPrinted>2025-03-13T10:41:00Z</cp:lastPrinted>
  <dcterms:created xsi:type="dcterms:W3CDTF">2025-01-13T13:40:00Z</dcterms:created>
  <dcterms:modified xsi:type="dcterms:W3CDTF">2025-03-13T12:58:00Z</dcterms:modified>
</cp:coreProperties>
</file>