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27" w:name="content"/>
    <w:bookmarkStart w:id="26" w:name="blendersimulation-der-spherestation"/>
    <w:p>
      <w:pPr>
        <w:pStyle w:val="Heading1"/>
      </w:pPr>
      <w:r>
        <w:t xml:space="preserve">Blender‑Simulation der Sphere‑Station</w:t>
      </w:r>
    </w:p>
    <w:p>
      <w:pPr>
        <w:pStyle w:val="FirstParagraph"/>
      </w:pPr>
      <w:r>
        <w:t xml:space="preserve">Dieses Verzeichnis enthält eine Beispiel‑Blender‑Simulation für die Sphere Space Station</w:t>
      </w:r>
      <w:r>
        <w:t xml:space="preserve"> </w:t>
      </w:r>
      <w:r>
        <w:t xml:space="preserve">„Earth ONE“. Ziel ist es, auf Grundlage der vorhandenen Deck‑Berechnungen eine</w:t>
      </w:r>
      <w:r>
        <w:t xml:space="preserve"> </w:t>
      </w:r>
      <w:r>
        <w:t xml:space="preserve">dreidimensionale Darstellung des Stationsinneren zu erzeugen und dabei alle</w:t>
      </w:r>
      <w:r>
        <w:t xml:space="preserve"> </w:t>
      </w:r>
      <w:r>
        <w:t xml:space="preserve">relevanten Maße und Ausstattungsmerkmale aus dem Projekt zu berücksichtigen.</w:t>
      </w:r>
    </w:p>
    <w:bookmarkStart w:id="23" w:name="struktur"/>
    <w:p>
      <w:pPr>
        <w:pStyle w:val="Heading2"/>
      </w:pPr>
      <w:r>
        <w:t xml:space="preserve">Struktur</w:t>
      </w:r>
    </w:p>
    <w:p>
      <w:pPr>
        <w:pStyle w:val="SourceCode"/>
      </w:pPr>
      <w:r>
        <w:rPr>
          <w:rStyle w:val="VerbatimChar"/>
        </w:rPr>
        <w:t xml:space="preserve">simulations/blender_simulation/</w:t>
      </w:r>
      <w:r>
        <w:br/>
      </w:r>
      <w:r>
        <w:rPr>
          <w:rStyle w:val="VerbatimChar"/>
        </w:rPr>
        <w:t xml:space="preserve">├── blender_deck_simulation.py          # Blender‑Skript zum Erzeugen der Deck‑Modelle</w:t>
      </w:r>
      <w:r>
        <w:br/>
      </w:r>
      <w:r>
        <w:rPr>
          <w:rStyle w:val="VerbatimChar"/>
        </w:rPr>
        <w:t xml:space="preserve">├── deck_3d_construction_data.csv       # aus Deck‑Berechnung abgeleitete Daten für die 3D‑Konstruktion</w:t>
      </w:r>
      <w:r>
        <w:br/>
      </w:r>
      <w:r>
        <w:rPr>
          <w:rStyle w:val="VerbatimChar"/>
        </w:rPr>
        <w:t xml:space="preserve">└── README.md                           # diese Anleitung</w:t>
      </w:r>
    </w:p>
    <w:bookmarkStart w:id="21" w:name="deck_3d_construction_data.csv"/>
    <w:p>
      <w:pPr>
        <w:pStyle w:val="Heading3"/>
      </w:pPr>
      <w:r>
        <w:t xml:space="preserve">deck_3d_construction_data.csv</w:t>
      </w:r>
    </w:p>
    <w:p>
      <w:pPr>
        <w:pStyle w:val="FirstParagraph"/>
      </w:pPr>
      <w:r>
        <w:t xml:space="preserve">Die CSV‑Datei enthält pro Deck sämtliche für die 3D‑Konstruktion notwendigen</w:t>
      </w:r>
      <w:r>
        <w:t xml:space="preserve"> </w:t>
      </w:r>
      <w:r>
        <w:t xml:space="preserve">Geometriedaten und einige Ausstattungsmerkmale: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Deck</w:t>
      </w:r>
      <w:r>
        <w:t xml:space="preserve"> </w:t>
      </w:r>
      <w:r>
        <w:t xml:space="preserve">– Name des Decks (z. B. „Deck 004“)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Inner/Outer Radius (m)</w:t>
      </w:r>
      <w:r>
        <w:t xml:space="preserve"> </w:t>
      </w:r>
      <w:r>
        <w:t xml:space="preserve">– innerer bzw. äußerer Radius des Decks in Metern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Deck Height (m)</w:t>
      </w:r>
      <w:r>
        <w:t xml:space="preserve"> </w:t>
      </w:r>
      <w:r>
        <w:t xml:space="preserve">– Gesamthöhe des Decks (inkl. Deckenstärke)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radial_thickness_m</w:t>
      </w:r>
      <w:r>
        <w:t xml:space="preserve"> </w:t>
      </w:r>
      <w:r>
        <w:t xml:space="preserve">– Differenz zwischen äußerem und innerem Radius (Materialstärke)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windows_count</w:t>
      </w:r>
      <w:r>
        <w:t xml:space="preserve"> </w:t>
      </w:r>
      <w:r>
        <w:t xml:space="preserve">– geschätzte Anzahl der Fenster entlang des Deckumfangs (Berechnung basiert auf einem Verhältnis von 20 % Fensterfläche und einer angenommenen Fensterbreite von 2 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window_material</w:t>
      </w:r>
      <w:r>
        <w:t xml:space="preserve">,</w:t>
      </w:r>
      <w:r>
        <w:t xml:space="preserve"> </w:t>
      </w:r>
      <w:r>
        <w:rPr>
          <w:b/>
          <w:bCs/>
        </w:rPr>
        <w:t xml:space="preserve">window_total_thickness_cm</w:t>
      </w:r>
      <w:r>
        <w:t xml:space="preserve">,</w:t>
      </w:r>
      <w:r>
        <w:t xml:space="preserve"> </w:t>
      </w:r>
      <w:r>
        <w:rPr>
          <w:b/>
          <w:bCs/>
        </w:rPr>
        <w:t xml:space="preserve">structure_material</w:t>
      </w:r>
      <w:r>
        <w:t xml:space="preserve"> </w:t>
      </w:r>
      <w:r>
        <w:t xml:space="preserve">– aus den technischen Dokumenten abgeleitete Materialvorschläge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usage</w:t>
      </w:r>
      <w:r>
        <w:t xml:space="preserve"> </w:t>
      </w:r>
      <w:r>
        <w:t xml:space="preserve">– vorgesehene Nutzung des Decks (Docking, Wohnen, Industrie, Lager …)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Rotation Velocity</w:t>
      </w:r>
      <w:r>
        <w:t xml:space="preserve">,</w:t>
      </w:r>
      <w:r>
        <w:t xml:space="preserve"> </w:t>
      </w:r>
      <w:r>
        <w:rPr>
          <w:b/>
          <w:bCs/>
        </w:rPr>
        <w:t xml:space="preserve">Centrifugal Acceleration</w:t>
      </w:r>
      <w:r>
        <w:t xml:space="preserve"> </w:t>
      </w:r>
      <w:r>
        <w:t xml:space="preserve">– aus der Deck‑Berechnung übernommen und können später zur Materialauslegung oder für Animationen genutzt werden</w:t>
      </w:r>
    </w:p>
    <w:p>
      <w:pPr>
        <w:pStyle w:val="FirstParagraph"/>
      </w:pPr>
      <w:r>
        <w:t xml:space="preserve">Diese Datei kann bei Bedarf ergänzt oder geändert werden, um weitere Merkmale abzubilden (z. B. Einbauten, Kabinen, Aufzugsschächte usw.).</w:t>
      </w:r>
    </w:p>
    <w:bookmarkEnd w:id="21"/>
    <w:bookmarkStart w:id="22" w:name="blender_deck_simulation.py"/>
    <w:p>
      <w:pPr>
        <w:pStyle w:val="Heading3"/>
      </w:pPr>
      <w:r>
        <w:t xml:space="preserve">blender_deck_simulation.py</w:t>
      </w:r>
    </w:p>
    <w:p>
      <w:pPr>
        <w:pStyle w:val="FirstParagraph"/>
      </w:pPr>
      <w:r>
        <w:t xml:space="preserve">Das Python‑Skript wird mit der integrierten Blender‑API (</w:t>
      </w:r>
      <w:r>
        <w:rPr>
          <w:rStyle w:val="VerbatimChar"/>
        </w:rPr>
        <w:t xml:space="preserve">bpy</w:t>
      </w:r>
      <w:r>
        <w:t xml:space="preserve">) ausgeführt und</w:t>
      </w:r>
      <w:r>
        <w:t xml:space="preserve"> </w:t>
      </w:r>
      <w:r>
        <w:t xml:space="preserve">erzeugt aus der CSV‑Datei eine einfache 3D‑Repräsentation: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Bereinigung der Szene</w:t>
      </w:r>
      <w:r>
        <w:t xml:space="preserve"> </w:t>
      </w:r>
      <w:r>
        <w:t xml:space="preserve">– Entfernt alle vorhandenen Objekte aus der aktiven Szene.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Erzeugung der Decks</w:t>
      </w:r>
      <w:r>
        <w:t xml:space="preserve"> </w:t>
      </w:r>
      <w:r>
        <w:t xml:space="preserve">– Für jedes Deck wird ein hohles Zylindersegment erstellt. Die</w:t>
      </w:r>
      <w:r>
        <w:t xml:space="preserve"> </w:t>
      </w:r>
      <w:r>
        <w:t xml:space="preserve">innere und äußere Zylinderhülle werden per Boolean‑Modifikator zu einem</w:t>
      </w:r>
      <w:r>
        <w:t xml:space="preserve"> </w:t>
      </w:r>
      <w:r>
        <w:t xml:space="preserve">Ring („Donut“) verbunden. Die Decks werden der Reihe nach entlang der Z‑Achse</w:t>
      </w:r>
      <w:r>
        <w:t xml:space="preserve"> </w:t>
      </w:r>
      <w:r>
        <w:t xml:space="preserve">gestapelt.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Wurmloch/Zentralzylinder</w:t>
      </w:r>
      <w:r>
        <w:t xml:space="preserve"> </w:t>
      </w:r>
      <w:r>
        <w:t xml:space="preserve">– Ein durchgehender Zylinder mit dem Radius des</w:t>
      </w:r>
      <w:r>
        <w:t xml:space="preserve"> </w:t>
      </w:r>
      <w:r>
        <w:t xml:space="preserve">innersten Decks modelliert den zentralen Durchgang („Wurmloch“).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Sockelringe</w:t>
      </w:r>
      <w:r>
        <w:t xml:space="preserve"> </w:t>
      </w:r>
      <w:r>
        <w:t xml:space="preserve">– Am oberen und unteren Ende des Wurmlochs werden zwei</w:t>
      </w:r>
      <w:r>
        <w:t xml:space="preserve"> </w:t>
      </w:r>
      <w:r>
        <w:t xml:space="preserve">Sockelringe angelegt, deren Radius 20 % größer ist als der Wurmlochradius.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Sammlung</w:t>
      </w:r>
      <w:r>
        <w:t xml:space="preserve"> </w:t>
      </w:r>
      <w:r>
        <w:t xml:space="preserve">– Alle erzeugten Objekte werden in einer Collection</w:t>
      </w:r>
      <w:r>
        <w:t xml:space="preserve"> </w:t>
      </w:r>
      <w:r>
        <w:rPr>
          <w:rStyle w:val="VerbatimChar"/>
        </w:rPr>
        <w:t xml:space="preserve">SphereDeckCollection</w:t>
      </w:r>
      <w:r>
        <w:t xml:space="preserve"> </w:t>
      </w:r>
      <w:r>
        <w:t xml:space="preserve">gruppiert, damit die Szene übersichtlicher bleibt.</w:t>
      </w:r>
    </w:p>
    <w:p>
      <w:pPr>
        <w:pStyle w:val="FirstParagraph"/>
      </w:pPr>
      <w:r>
        <w:t xml:space="preserve">Die erzeugten Geometrien dienen als Ausgangspunkt. Materialien, Texturen,</w:t>
      </w:r>
      <w:r>
        <w:t xml:space="preserve"> </w:t>
      </w:r>
      <w:r>
        <w:t xml:space="preserve">Fensteröffnungen und weitere Ausstattung können anschließend manuell in Blender</w:t>
      </w:r>
      <w:r>
        <w:t xml:space="preserve"> </w:t>
      </w:r>
      <w:r>
        <w:t xml:space="preserve">hinzugefügt oder durch weitere Skripte ergänzt werden.</w:t>
      </w:r>
    </w:p>
    <w:bookmarkEnd w:id="22"/>
    <w:bookmarkEnd w:id="23"/>
    <w:bookmarkStart w:id="24" w:name="ausführen-der-simulation"/>
    <w:p>
      <w:pPr>
        <w:pStyle w:val="Heading2"/>
      </w:pPr>
      <w:r>
        <w:t xml:space="preserve">Ausführen der Simulation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Blender installieren</w:t>
      </w:r>
      <w:r>
        <w:t xml:space="preserve">: Stellen Sie sicher, dass Blender ab Version 2.9</w:t>
      </w:r>
      <w:r>
        <w:t xml:space="preserve"> </w:t>
      </w:r>
      <w:r>
        <w:t xml:space="preserve">installiert ist.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Projekt öffnen</w:t>
      </w:r>
      <w:r>
        <w:t xml:space="preserve">: Starten Sie Blender und öffnen Sie das Scripting‑Fenster.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Skript ausführen</w:t>
      </w:r>
      <w:r>
        <w:t xml:space="preserve">: Laden Sie</w:t>
      </w:r>
      <w:r>
        <w:t xml:space="preserve"> </w:t>
      </w:r>
      <w:r>
        <w:rPr>
          <w:rStyle w:val="VerbatimChar"/>
        </w:rPr>
        <w:t xml:space="preserve">blender_deck_simulation.py</w:t>
      </w:r>
      <w:r>
        <w:t xml:space="preserve"> </w:t>
      </w:r>
      <w:r>
        <w:t xml:space="preserve">im Text‑Editor,</w:t>
      </w:r>
      <w:r>
        <w:t xml:space="preserve"> </w:t>
      </w:r>
      <w:r>
        <w:t xml:space="preserve">passen Sie bei Bedarf den Pfad zur CSV an und führen Sie das Skript mit</w:t>
      </w:r>
      <w:r>
        <w:t xml:space="preserve"> </w:t>
      </w:r>
      <w:r>
        <w:rPr>
          <w:rStyle w:val="VerbatimChar"/>
        </w:rPr>
        <w:t xml:space="preserve">Alt+P</w:t>
      </w:r>
      <w:r>
        <w:t xml:space="preserve"> </w:t>
      </w:r>
      <w:r>
        <w:t xml:space="preserve">aus.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Ergebnisse betrachten</w:t>
      </w:r>
      <w:r>
        <w:t xml:space="preserve">: Nach dem Ausführen befindet sich unter</w:t>
      </w:r>
      <w:r>
        <w:t xml:space="preserve"> </w:t>
      </w:r>
      <w:r>
        <w:t xml:space="preserve">„Collection“ eine neue Gruppe namens</w:t>
      </w:r>
      <w:r>
        <w:t xml:space="preserve"> </w:t>
      </w:r>
      <w:r>
        <w:rPr>
          <w:rStyle w:val="VerbatimChar"/>
        </w:rPr>
        <w:t xml:space="preserve">SphereDeckCollection</w:t>
      </w:r>
      <w:r>
        <w:t xml:space="preserve"> </w:t>
      </w:r>
      <w:r>
        <w:t xml:space="preserve">mit allen</w:t>
      </w:r>
      <w:r>
        <w:t xml:space="preserve"> </w:t>
      </w:r>
      <w:r>
        <w:t xml:space="preserve">erzeugten Objekten. Nutzen Sie Blenders Werkzeuge, um sich durch die</w:t>
      </w:r>
      <w:r>
        <w:t xml:space="preserve"> </w:t>
      </w:r>
      <w:r>
        <w:t xml:space="preserve">entstehende 3D‑Struktur zu bewegen.</w:t>
      </w:r>
    </w:p>
    <w:p>
      <w:pPr>
        <w:pStyle w:val="FirstParagraph"/>
      </w:pPr>
      <w:r>
        <w:t xml:space="preserve">Optional kann das Skript auch direkt über die Kommandozeile gestartet werden:</w:t>
      </w:r>
    </w:p>
    <w:p>
      <w:pPr>
        <w:pStyle w:val="SourceCode"/>
      </w:pPr>
      <w:r>
        <w:rPr>
          <w:rStyle w:val="VerbatimChar"/>
        </w:rPr>
        <w:t xml:space="preserve">blender --python simulations/blender_simulation/blender_deck_simulation.py --background</w:t>
      </w:r>
    </w:p>
    <w:p>
      <w:pPr>
        <w:pStyle w:val="FirstParagraph"/>
      </w:pPr>
      <w:r>
        <w:t xml:space="preserve">In diesem Fall wird Blender im Hintergrund ausgeführt. Anschließend können</w:t>
      </w:r>
      <w:r>
        <w:t xml:space="preserve"> </w:t>
      </w:r>
      <w:r>
        <w:t xml:space="preserve">Sie die generierte</w:t>
      </w:r>
      <w:r>
        <w:t xml:space="preserve"> </w:t>
      </w:r>
      <w:r>
        <w:rPr>
          <w:rStyle w:val="VerbatimChar"/>
        </w:rPr>
        <w:t xml:space="preserve">.blend</w:t>
      </w:r>
      <w:r>
        <w:t xml:space="preserve">‑Datei speichern und weiterverarbeiten.</w:t>
      </w:r>
    </w:p>
    <w:bookmarkEnd w:id="24"/>
    <w:bookmarkStart w:id="25" w:name="weiterentwicklung"/>
    <w:p>
      <w:pPr>
        <w:pStyle w:val="Heading2"/>
      </w:pPr>
      <w:r>
        <w:t xml:space="preserve">Weiterentwicklung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Fenster und Einbauten</w:t>
      </w:r>
      <w:r>
        <w:t xml:space="preserve">: Die CSV enthält bereits die Spalte</w:t>
      </w:r>
      <w:r>
        <w:t xml:space="preserve"> </w:t>
      </w:r>
      <w:r>
        <w:rPr>
          <w:rStyle w:val="VerbatimChar"/>
        </w:rPr>
        <w:t xml:space="preserve">windows_count</w:t>
      </w:r>
      <w:r>
        <w:t xml:space="preserve">.</w:t>
      </w:r>
      <w:r>
        <w:t xml:space="preserve"> </w:t>
      </w:r>
      <w:r>
        <w:t xml:space="preserve">Ein erweitertes Skript könnte diese Werte nutzen, um pro Deck Fensteröffnungen</w:t>
      </w:r>
      <w:r>
        <w:t xml:space="preserve"> </w:t>
      </w:r>
      <w:r>
        <w:t xml:space="preserve">entlang des Umfangs zu bohren oder separate Objekte für Fenster einzufügen.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Dynamische Animation</w:t>
      </w:r>
      <w:r>
        <w:t xml:space="preserve">: Die in der Deck‑Berechnung angegebenen</w:t>
      </w:r>
      <w:r>
        <w:t xml:space="preserve"> </w:t>
      </w:r>
      <w:r>
        <w:t xml:space="preserve">Rotationsgeschwindigkeiten und Zentrifugalbeschleunigungen können zur</w:t>
      </w:r>
      <w:r>
        <w:t xml:space="preserve"> </w:t>
      </w:r>
      <w:r>
        <w:t xml:space="preserve">Animation der Station verwendet werden (z. B. Rotieren um die Z‑Achse).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Materialzuweisung</w:t>
      </w:r>
      <w:r>
        <w:t xml:space="preserve">: Basierend auf den Materialspalten lässt sich jedes</w:t>
      </w:r>
      <w:r>
        <w:t xml:space="preserve"> </w:t>
      </w:r>
      <w:r>
        <w:t xml:space="preserve">Deck oder Bauteil mit spezifischen Shadern versehen.</w:t>
      </w:r>
    </w:p>
    <w:p>
      <w:pPr>
        <w:pStyle w:val="FirstParagraph"/>
      </w:pPr>
      <w:r>
        <w:t xml:space="preserve">Diese Simulation stellt nur einen ersten Schritt dar. Für eine detailgetreue,</w:t>
      </w:r>
      <w:r>
        <w:t xml:space="preserve"> </w:t>
      </w:r>
      <w:r>
        <w:t xml:space="preserve">fotorealistische Darstellung müssen weitere Daten (u. a. Kabinenlayouts,</w:t>
      </w:r>
      <w:r>
        <w:t xml:space="preserve"> </w:t>
      </w:r>
      <w:r>
        <w:t xml:space="preserve">Einrichtungsgegenstände, Beleuchtungsszenarien) integriert werden.</w:t>
      </w:r>
    </w:p>
    <w:bookmarkEnd w:id="25"/>
    <w:bookmarkEnd w:id="26"/>
    <w:bookmarkEnd w:id="27"/>
    <w:p>
      <w:r>
        <w:pict>
          <v:rect style="width:0;height:1.5pt" o:hralign="center" o:hrstd="t" o:hr="t"/>
        </w:pict>
      </w:r>
    </w:p>
    <w:bookmarkStart w:id="28" w:name="citations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de</dc:language>
  <cp:keywords/>
  <dcterms:created xsi:type="dcterms:W3CDTF">2025-07-29T11:09:36Z</dcterms:created>
  <dcterms:modified xsi:type="dcterms:W3CDTF">2025-07-29T11:09:36Z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