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47B6D" w14:textId="77777777" w:rsidR="008F20FF" w:rsidRDefault="008F20FF">
      <w:pPr>
        <w:spacing w:before="720" w:after="120"/>
      </w:pPr>
    </w:p>
    <w:p w14:paraId="447FB2AE" w14:textId="77777777" w:rsidR="008F20FF" w:rsidRDefault="006E3843">
      <w:pPr>
        <w:spacing w:after="160"/>
        <w:jc w:val="center"/>
      </w:pPr>
      <w:r>
        <w:rPr>
          <w:rFonts w:ascii="Calibri" w:hAnsi="Calibri"/>
          <w:b/>
          <w:color w:val="1F3864"/>
          <w:sz w:val="52"/>
        </w:rPr>
        <w:t>Transforming Raw IT Financial Data</w:t>
      </w:r>
      <w:r>
        <w:rPr>
          <w:rFonts w:ascii="Calibri" w:hAnsi="Calibri"/>
          <w:b/>
          <w:color w:val="1F3864"/>
          <w:sz w:val="52"/>
        </w:rPr>
        <w:br/>
        <w:t>into Executive Business Intelligence</w:t>
      </w:r>
    </w:p>
    <w:p w14:paraId="71F68BE2" w14:textId="77777777" w:rsidR="008F20FF" w:rsidRDefault="006E3843">
      <w:pPr>
        <w:spacing w:after="80"/>
        <w:jc w:val="center"/>
      </w:pPr>
      <w:r>
        <w:rPr>
          <w:rFonts w:ascii="Calibri" w:hAnsi="Calibri"/>
          <w:i/>
          <w:color w:val="4472C4"/>
          <w:sz w:val="28"/>
        </w:rPr>
        <w:t>A Portfolio Case Study</w:t>
      </w:r>
    </w:p>
    <w:p w14:paraId="1A6152AB" w14:textId="77777777" w:rsidR="008F20FF" w:rsidRDefault="006E3843">
      <w:pPr>
        <w:spacing w:after="120"/>
        <w:jc w:val="center"/>
      </w:pPr>
      <w:r>
        <w:rPr>
          <w:rFonts w:ascii="Calibri" w:hAnsi="Calibri"/>
          <w:color w:val="404040"/>
          <w:sz w:val="24"/>
        </w:rPr>
        <w:t>Nexora Technologies  |  IT Finance Analytics Project</w:t>
      </w:r>
    </w:p>
    <w:p w14:paraId="22AD1D73" w14:textId="77777777" w:rsidR="008F20FF" w:rsidRDefault="008F20FF">
      <w:pPr>
        <w:spacing w:before="160" w:after="160"/>
      </w:pPr>
    </w:p>
    <w:p w14:paraId="664F8883" w14:textId="77777777" w:rsidR="008F20FF" w:rsidRDefault="008F20FF">
      <w:pPr>
        <w:pBdr>
          <w:bottom w:val="single" w:sz="4" w:space="1" w:color="BDD7EE"/>
        </w:pBdr>
        <w:spacing w:before="80" w:after="80"/>
      </w:pPr>
    </w:p>
    <w:p w14:paraId="1434EB39" w14:textId="77777777" w:rsidR="008F20FF" w:rsidRDefault="008F20FF">
      <w:pPr>
        <w:spacing w:before="160" w:after="80"/>
      </w:pPr>
    </w:p>
    <w:p w14:paraId="4D30B72F" w14:textId="77777777" w:rsidR="008F20FF" w:rsidRDefault="006E3843">
      <w:pPr>
        <w:spacing w:before="60" w:after="60"/>
        <w:jc w:val="center"/>
      </w:pPr>
      <w:r>
        <w:rPr>
          <w:rFonts w:ascii="Calibri" w:hAnsi="Calibri"/>
          <w:b/>
          <w:color w:val="1F3864"/>
          <w:sz w:val="32"/>
        </w:rPr>
        <w:t xml:space="preserve">$686,332,186  </w:t>
      </w:r>
      <w:r>
        <w:rPr>
          <w:rFonts w:ascii="Calibri" w:hAnsi="Calibri"/>
          <w:color w:val="404040"/>
        </w:rPr>
        <w:t>—  Total IT Spend Analyzed</w:t>
      </w:r>
    </w:p>
    <w:p w14:paraId="60F058DE" w14:textId="77777777" w:rsidR="008F20FF" w:rsidRDefault="006E3843">
      <w:pPr>
        <w:spacing w:before="60" w:after="60"/>
        <w:jc w:val="center"/>
      </w:pPr>
      <w:r>
        <w:rPr>
          <w:rFonts w:ascii="Calibri" w:hAnsi="Calibri"/>
          <w:b/>
          <w:color w:val="1F3864"/>
          <w:sz w:val="32"/>
        </w:rPr>
        <w:t xml:space="preserve">19,884  </w:t>
      </w:r>
      <w:r>
        <w:rPr>
          <w:rFonts w:ascii="Calibri" w:hAnsi="Calibri"/>
          <w:color w:val="404040"/>
        </w:rPr>
        <w:t>—  Raw Transactions Processed</w:t>
      </w:r>
    </w:p>
    <w:p w14:paraId="7F8E31D5" w14:textId="77777777" w:rsidR="008F20FF" w:rsidRDefault="006E3843">
      <w:pPr>
        <w:spacing w:before="60" w:after="60"/>
        <w:jc w:val="center"/>
      </w:pPr>
      <w:r>
        <w:rPr>
          <w:rFonts w:ascii="Calibri" w:hAnsi="Calibri"/>
          <w:b/>
          <w:color w:val="1F3864"/>
          <w:sz w:val="32"/>
        </w:rPr>
        <w:t xml:space="preserve">5 Years  </w:t>
      </w:r>
      <w:r>
        <w:rPr>
          <w:rFonts w:ascii="Calibri" w:hAnsi="Calibri"/>
          <w:color w:val="404040"/>
        </w:rPr>
        <w:t xml:space="preserve">—  FY2021 – </w:t>
      </w:r>
      <w:r>
        <w:rPr>
          <w:rFonts w:ascii="Calibri" w:hAnsi="Calibri"/>
          <w:color w:val="404040"/>
        </w:rPr>
        <w:t>FY2025</w:t>
      </w:r>
    </w:p>
    <w:p w14:paraId="0D1ABBE2" w14:textId="77777777" w:rsidR="008F20FF" w:rsidRDefault="006E3843">
      <w:pPr>
        <w:spacing w:before="60" w:after="60"/>
        <w:jc w:val="center"/>
      </w:pPr>
      <w:r>
        <w:rPr>
          <w:rFonts w:ascii="Calibri" w:hAnsi="Calibri"/>
          <w:b/>
          <w:color w:val="1F3864"/>
          <w:sz w:val="32"/>
        </w:rPr>
        <w:t xml:space="preserve">3 Deliverables  </w:t>
      </w:r>
      <w:r>
        <w:rPr>
          <w:rFonts w:ascii="Calibri" w:hAnsi="Calibri"/>
          <w:color w:val="404040"/>
        </w:rPr>
        <w:t>—  Excel · PowerPoint · Word</w:t>
      </w:r>
    </w:p>
    <w:p w14:paraId="55A6782F" w14:textId="77777777" w:rsidR="008F20FF" w:rsidRDefault="008F20FF">
      <w:pPr>
        <w:pBdr>
          <w:bottom w:val="single" w:sz="4" w:space="1" w:color="BDD7EE"/>
        </w:pBdr>
        <w:spacing w:before="80" w:after="80"/>
      </w:pPr>
    </w:p>
    <w:p w14:paraId="6E5D8DEB" w14:textId="77777777" w:rsidR="008F20FF" w:rsidRDefault="008F20FF">
      <w:pPr>
        <w:spacing w:before="320" w:after="120"/>
      </w:pPr>
    </w:p>
    <w:p w14:paraId="161A7153" w14:textId="10BBD2FC" w:rsidR="008F20FF" w:rsidRDefault="006E3843">
      <w:pPr>
        <w:spacing w:after="120"/>
        <w:jc w:val="center"/>
      </w:pPr>
      <w:r>
        <w:rPr>
          <w:rFonts w:ascii="Calibri" w:hAnsi="Calibri"/>
          <w:b/>
          <w:color w:val="404040"/>
          <w:sz w:val="24"/>
        </w:rPr>
        <w:t>Robert Thomas</w:t>
      </w:r>
    </w:p>
    <w:p w14:paraId="0F7A47DC" w14:textId="77777777" w:rsidR="008F20FF" w:rsidRDefault="006E3843">
      <w:pPr>
        <w:spacing w:after="120"/>
        <w:jc w:val="center"/>
      </w:pPr>
      <w:r>
        <w:rPr>
          <w:rFonts w:ascii="Calibri" w:hAnsi="Calibri"/>
          <w:color w:val="A6A6A6"/>
          <w:sz w:val="20"/>
        </w:rPr>
        <w:t>IT Finance Analytics | BI Development | Financial Reporting</w:t>
      </w:r>
    </w:p>
    <w:p w14:paraId="61237A11" w14:textId="77777777" w:rsidR="008F20FF" w:rsidRDefault="006E3843">
      <w:pPr>
        <w:spacing w:after="120"/>
        <w:jc w:val="center"/>
      </w:pPr>
      <w:r>
        <w:rPr>
          <w:rFonts w:ascii="Calibri" w:hAnsi="Calibri"/>
          <w:i/>
          <w:color w:val="A6A6A6"/>
          <w:sz w:val="20"/>
        </w:rPr>
        <w:t>June 2026</w:t>
      </w:r>
    </w:p>
    <w:p w14:paraId="290ED264" w14:textId="77777777" w:rsidR="008F20FF" w:rsidRDefault="008F20FF">
      <w:pPr>
        <w:spacing w:before="240" w:after="120"/>
      </w:pPr>
    </w:p>
    <w:p w14:paraId="38AA159A" w14:textId="77777777" w:rsidR="008F20FF" w:rsidRDefault="006E3843">
      <w:pPr>
        <w:spacing w:after="120"/>
        <w:jc w:val="center"/>
      </w:pPr>
      <w:r>
        <w:rPr>
          <w:rFonts w:ascii="Calibri" w:hAnsi="Calibri"/>
          <w:i/>
          <w:color w:val="A6A6A6"/>
          <w:sz w:val="16"/>
        </w:rPr>
        <w:t>PORTFOLIO PROJECT  |  FOR ILLUSTRATION PURPOSES  |  DATASET IS SYNTHETIC</w:t>
      </w:r>
    </w:p>
    <w:p w14:paraId="700B9586" w14:textId="77777777" w:rsidR="008F20FF" w:rsidRDefault="006E3843">
      <w:r>
        <w:br w:type="page"/>
      </w:r>
    </w:p>
    <w:p w14:paraId="07743B0E" w14:textId="77777777" w:rsidR="008F20FF" w:rsidRDefault="006E3843">
      <w:pPr>
        <w:shd w:val="clear" w:color="auto" w:fill="1F3864"/>
        <w:spacing w:before="280" w:after="80"/>
      </w:pPr>
      <w:r>
        <w:rPr>
          <w:rFonts w:ascii="Calibri" w:hAnsi="Calibri"/>
          <w:b/>
          <w:color w:val="FFFFFF"/>
          <w:sz w:val="26"/>
        </w:rPr>
        <w:lastRenderedPageBreak/>
        <w:t xml:space="preserve">  1.  Executive Summary</w:t>
      </w:r>
    </w:p>
    <w:p w14:paraId="110A47DA" w14:textId="77777777" w:rsidR="008F20FF" w:rsidRDefault="008F20FF">
      <w:pPr>
        <w:spacing w:after="120"/>
      </w:pPr>
    </w:p>
    <w:p w14:paraId="52733FC6" w14:textId="77777777" w:rsidR="008F20FF" w:rsidRDefault="006E3843">
      <w:pPr>
        <w:pBdr>
          <w:left w:val="single" w:sz="16" w:space="4" w:color="4472C4"/>
        </w:pBdr>
        <w:shd w:val="clear" w:color="auto" w:fill="DCE6F1"/>
        <w:spacing w:before="160" w:after="160"/>
        <w:ind w:left="432" w:right="432"/>
      </w:pPr>
      <w:r>
        <w:rPr>
          <w:rFonts w:ascii="Calibri" w:hAnsi="Calibri"/>
          <w:i/>
          <w:color w:val="1F3864"/>
          <w:sz w:val="21"/>
        </w:rPr>
        <w:t>BOTTOM LINE:  $686.3M in IT spend across 5 years — zero consolidated view. This project built that view from scratch: 19,884 raw transactions transformed into an executive dashboard, a 13-slide board-ready presentation, and a strategic analysis that identified $63M–$87M in actionable savings opportunities.</w:t>
      </w:r>
    </w:p>
    <w:p w14:paraId="2A627702" w14:textId="77777777" w:rsidR="008F20FF" w:rsidRDefault="006E3843">
      <w:pPr>
        <w:spacing w:after="160"/>
      </w:pPr>
      <w:r>
        <w:rPr>
          <w:rFonts w:ascii="Calibri" w:hAnsi="Calibri"/>
          <w:sz w:val="21"/>
        </w:rPr>
        <w:t>Nexora Technologies manages five Business Units, twelve Cost Centers, and twenty-two vendors across a $137.3M average annual IT portfolio. The raw transactional dataset provided no consolidated financial visibility — each of the 19,884 records sat in isolation without aggregation, trend analysis, or executive-level narrative.</w:t>
      </w:r>
    </w:p>
    <w:p w14:paraId="1E7C46AB" w14:textId="77777777" w:rsidR="008F20FF" w:rsidRDefault="006E3843">
      <w:pPr>
        <w:spacing w:after="160"/>
      </w:pPr>
      <w:r>
        <w:rPr>
          <w:rFonts w:ascii="Calibri" w:hAnsi="Calibri"/>
          <w:sz w:val="21"/>
        </w:rPr>
        <w:t xml:space="preserve">This project delivered three executive-grade artifacts from a single source dataset: a seven-tab </w:t>
      </w:r>
      <w:r>
        <w:rPr>
          <w:rFonts w:ascii="Calibri" w:hAnsi="Calibri"/>
          <w:sz w:val="21"/>
        </w:rPr>
        <w:t>interactive Excel dashboard, a thirteen-slide CIO/CFO presentation, and this case study document. The analytical work surfaced five material findings: IT spend peaked in FY2022 and has contracted since; project investment is flat at a fixed $49M/year ceiling; top-5 vendor concentration stands at 48.6% of total spend; Cybersecurity investment is below industry benchmark; and Cloud spend has declined 7.4% with no clear strategic rationale.</w:t>
      </w:r>
    </w:p>
    <w:p w14:paraId="20AFD7C7" w14:textId="77777777" w:rsidR="008F20FF" w:rsidRDefault="006E3843">
      <w:pPr>
        <w:spacing w:after="160"/>
      </w:pPr>
      <w:r>
        <w:rPr>
          <w:rFonts w:ascii="Calibri" w:hAnsi="Calibri"/>
          <w:sz w:val="21"/>
        </w:rPr>
        <w:t>Recommended actions — quantified and prioritized — total $63M–$87M in potential savings, representing 9–13% of the five-year portfolio. The highest-ROI single action: renegotiating the top-5 hardware vendor contracts ($333.6M at risk, $26M–$40M potential savings).</w:t>
      </w:r>
    </w:p>
    <w:p w14:paraId="14F5B5FA" w14:textId="77777777" w:rsidR="008F20FF" w:rsidRDefault="006E3843">
      <w:pPr>
        <w:pBdr>
          <w:bottom w:val="single" w:sz="4" w:space="1" w:color="2F5597"/>
        </w:pBdr>
        <w:spacing w:before="200" w:after="60"/>
      </w:pPr>
      <w:r>
        <w:rPr>
          <w:rFonts w:ascii="Calibri" w:hAnsi="Calibri"/>
          <w:b/>
          <w:color w:val="1F3864"/>
        </w:rPr>
        <w:t>Metrics at a Glance</w:t>
      </w:r>
    </w:p>
    <w:tbl>
      <w:tblPr>
        <w:tblStyle w:val="TableGrid"/>
        <w:tblW w:w="0" w:type="auto"/>
        <w:jc w:val="center"/>
        <w:tblLook w:val="04A0" w:firstRow="1" w:lastRow="0" w:firstColumn="1" w:lastColumn="0" w:noHBand="0" w:noVBand="1"/>
      </w:tblPr>
      <w:tblGrid>
        <w:gridCol w:w="3600"/>
        <w:gridCol w:w="2880"/>
        <w:gridCol w:w="2880"/>
      </w:tblGrid>
      <w:tr w:rsidR="008F20FF" w14:paraId="5779E7F4" w14:textId="77777777">
        <w:trPr>
          <w:jc w:val="center"/>
        </w:trPr>
        <w:tc>
          <w:tcPr>
            <w:tcW w:w="3600" w:type="dxa"/>
            <w:shd w:val="clear" w:color="auto" w:fill="1F3864"/>
            <w:vAlign w:val="center"/>
          </w:tcPr>
          <w:p w14:paraId="3152F2A4" w14:textId="77777777" w:rsidR="008F20FF" w:rsidRDefault="006E3843">
            <w:pPr>
              <w:jc w:val="center"/>
            </w:pPr>
            <w:r>
              <w:rPr>
                <w:rFonts w:ascii="Calibri" w:hAnsi="Calibri"/>
                <w:b/>
                <w:color w:val="FFFFFF"/>
                <w:sz w:val="19"/>
              </w:rPr>
              <w:t>Metric</w:t>
            </w:r>
          </w:p>
        </w:tc>
        <w:tc>
          <w:tcPr>
            <w:tcW w:w="2880" w:type="dxa"/>
            <w:shd w:val="clear" w:color="auto" w:fill="1F3864"/>
            <w:vAlign w:val="center"/>
          </w:tcPr>
          <w:p w14:paraId="5633479B" w14:textId="77777777" w:rsidR="008F20FF" w:rsidRDefault="006E3843">
            <w:pPr>
              <w:jc w:val="center"/>
            </w:pPr>
            <w:r>
              <w:rPr>
                <w:rFonts w:ascii="Calibri" w:hAnsi="Calibri"/>
                <w:b/>
                <w:color w:val="FFFFFF"/>
                <w:sz w:val="19"/>
              </w:rPr>
              <w:t>Value</w:t>
            </w:r>
          </w:p>
        </w:tc>
        <w:tc>
          <w:tcPr>
            <w:tcW w:w="2880" w:type="dxa"/>
            <w:shd w:val="clear" w:color="auto" w:fill="1F3864"/>
            <w:vAlign w:val="center"/>
          </w:tcPr>
          <w:p w14:paraId="084EF0D6" w14:textId="77777777" w:rsidR="008F20FF" w:rsidRDefault="006E3843">
            <w:pPr>
              <w:jc w:val="center"/>
            </w:pPr>
            <w:r>
              <w:rPr>
                <w:rFonts w:ascii="Calibri" w:hAnsi="Calibri"/>
                <w:b/>
                <w:color w:val="FFFFFF"/>
                <w:sz w:val="19"/>
              </w:rPr>
              <w:t>Context</w:t>
            </w:r>
          </w:p>
        </w:tc>
      </w:tr>
      <w:tr w:rsidR="008F20FF" w14:paraId="0A5A211C" w14:textId="77777777">
        <w:trPr>
          <w:jc w:val="center"/>
        </w:trPr>
        <w:tc>
          <w:tcPr>
            <w:tcW w:w="3600" w:type="dxa"/>
            <w:vAlign w:val="center"/>
          </w:tcPr>
          <w:p w14:paraId="7AC46DE7" w14:textId="77777777" w:rsidR="008F20FF" w:rsidRDefault="006E3843">
            <w:r>
              <w:rPr>
                <w:rFonts w:ascii="Calibri" w:hAnsi="Calibri"/>
                <w:color w:val="404040"/>
                <w:sz w:val="19"/>
              </w:rPr>
              <w:t>Total IT Spend (5-Year)</w:t>
            </w:r>
          </w:p>
        </w:tc>
        <w:tc>
          <w:tcPr>
            <w:tcW w:w="2880" w:type="dxa"/>
            <w:vAlign w:val="center"/>
          </w:tcPr>
          <w:p w14:paraId="5CB93732" w14:textId="77777777" w:rsidR="008F20FF" w:rsidRDefault="006E3843">
            <w:pPr>
              <w:jc w:val="right"/>
            </w:pPr>
            <w:r>
              <w:rPr>
                <w:rFonts w:ascii="Calibri" w:hAnsi="Calibri"/>
                <w:color w:val="404040"/>
                <w:sz w:val="19"/>
              </w:rPr>
              <w:t>$686,332,186</w:t>
            </w:r>
          </w:p>
        </w:tc>
        <w:tc>
          <w:tcPr>
            <w:tcW w:w="2880" w:type="dxa"/>
            <w:vAlign w:val="center"/>
          </w:tcPr>
          <w:p w14:paraId="488751CE" w14:textId="77777777" w:rsidR="008F20FF" w:rsidRDefault="006E3843">
            <w:pPr>
              <w:jc w:val="right"/>
            </w:pPr>
            <w:r>
              <w:rPr>
                <w:rFonts w:ascii="Calibri" w:hAnsi="Calibri"/>
                <w:color w:val="404040"/>
                <w:sz w:val="19"/>
              </w:rPr>
              <w:t>FY2021–FY2025</w:t>
            </w:r>
          </w:p>
        </w:tc>
      </w:tr>
      <w:tr w:rsidR="008F20FF" w14:paraId="08E25A6E" w14:textId="77777777">
        <w:trPr>
          <w:jc w:val="center"/>
        </w:trPr>
        <w:tc>
          <w:tcPr>
            <w:tcW w:w="3600" w:type="dxa"/>
            <w:shd w:val="clear" w:color="auto" w:fill="EBF1F9"/>
            <w:vAlign w:val="center"/>
          </w:tcPr>
          <w:p w14:paraId="3EB4D769" w14:textId="77777777" w:rsidR="008F20FF" w:rsidRDefault="006E3843">
            <w:r>
              <w:rPr>
                <w:rFonts w:ascii="Calibri" w:hAnsi="Calibri"/>
                <w:color w:val="404040"/>
                <w:sz w:val="19"/>
              </w:rPr>
              <w:t>Average Annual Spend</w:t>
            </w:r>
          </w:p>
        </w:tc>
        <w:tc>
          <w:tcPr>
            <w:tcW w:w="2880" w:type="dxa"/>
            <w:shd w:val="clear" w:color="auto" w:fill="EBF1F9"/>
            <w:vAlign w:val="center"/>
          </w:tcPr>
          <w:p w14:paraId="3AB89F60" w14:textId="77777777" w:rsidR="008F20FF" w:rsidRDefault="006E3843">
            <w:pPr>
              <w:jc w:val="right"/>
            </w:pPr>
            <w:r>
              <w:rPr>
                <w:rFonts w:ascii="Calibri" w:hAnsi="Calibri"/>
                <w:color w:val="404040"/>
                <w:sz w:val="19"/>
              </w:rPr>
              <w:t>$137,266,437</w:t>
            </w:r>
          </w:p>
        </w:tc>
        <w:tc>
          <w:tcPr>
            <w:tcW w:w="2880" w:type="dxa"/>
            <w:shd w:val="clear" w:color="auto" w:fill="EBF1F9"/>
            <w:vAlign w:val="center"/>
          </w:tcPr>
          <w:p w14:paraId="57C7039C" w14:textId="77777777" w:rsidR="008F20FF" w:rsidRDefault="006E3843">
            <w:pPr>
              <w:jc w:val="right"/>
            </w:pPr>
            <w:r>
              <w:rPr>
                <w:rFonts w:ascii="Calibri" w:hAnsi="Calibri"/>
                <w:color w:val="404040"/>
                <w:sz w:val="19"/>
              </w:rPr>
              <w:t>±$3M year-over-year volatility</w:t>
            </w:r>
          </w:p>
        </w:tc>
      </w:tr>
      <w:tr w:rsidR="008F20FF" w14:paraId="3E88AC8F" w14:textId="77777777">
        <w:trPr>
          <w:jc w:val="center"/>
        </w:trPr>
        <w:tc>
          <w:tcPr>
            <w:tcW w:w="3600" w:type="dxa"/>
            <w:vAlign w:val="center"/>
          </w:tcPr>
          <w:p w14:paraId="6EB3F0DF" w14:textId="77777777" w:rsidR="008F20FF" w:rsidRDefault="006E3843">
            <w:r>
              <w:rPr>
                <w:rFonts w:ascii="Calibri" w:hAnsi="Calibri"/>
                <w:color w:val="404040"/>
                <w:sz w:val="19"/>
              </w:rPr>
              <w:t>Peak Year</w:t>
            </w:r>
          </w:p>
        </w:tc>
        <w:tc>
          <w:tcPr>
            <w:tcW w:w="2880" w:type="dxa"/>
            <w:vAlign w:val="center"/>
          </w:tcPr>
          <w:p w14:paraId="082C7CB9" w14:textId="77777777" w:rsidR="008F20FF" w:rsidRDefault="006E3843">
            <w:pPr>
              <w:jc w:val="right"/>
            </w:pPr>
            <w:r>
              <w:rPr>
                <w:rFonts w:ascii="Calibri" w:hAnsi="Calibri"/>
                <w:color w:val="404040"/>
                <w:sz w:val="19"/>
              </w:rPr>
              <w:t>FY2022: $141.5M</w:t>
            </w:r>
          </w:p>
        </w:tc>
        <w:tc>
          <w:tcPr>
            <w:tcW w:w="2880" w:type="dxa"/>
            <w:vAlign w:val="center"/>
          </w:tcPr>
          <w:p w14:paraId="2DB9734A" w14:textId="77777777" w:rsidR="008F20FF" w:rsidRDefault="006E3843">
            <w:pPr>
              <w:jc w:val="right"/>
            </w:pPr>
            <w:r>
              <w:rPr>
                <w:rFonts w:ascii="Calibri" w:hAnsi="Calibri"/>
                <w:color w:val="404040"/>
                <w:sz w:val="19"/>
              </w:rPr>
              <w:t>+4.0% from FY2021</w:t>
            </w:r>
          </w:p>
        </w:tc>
      </w:tr>
      <w:tr w:rsidR="008F20FF" w14:paraId="7FE061C0" w14:textId="77777777">
        <w:trPr>
          <w:jc w:val="center"/>
        </w:trPr>
        <w:tc>
          <w:tcPr>
            <w:tcW w:w="3600" w:type="dxa"/>
            <w:shd w:val="clear" w:color="auto" w:fill="EBF1F9"/>
            <w:vAlign w:val="center"/>
          </w:tcPr>
          <w:p w14:paraId="1C50B927" w14:textId="77777777" w:rsidR="008F20FF" w:rsidRDefault="006E3843">
            <w:r>
              <w:rPr>
                <w:rFonts w:ascii="Calibri" w:hAnsi="Calibri"/>
                <w:color w:val="404040"/>
                <w:sz w:val="19"/>
              </w:rPr>
              <w:t>Most Recent Year</w:t>
            </w:r>
          </w:p>
        </w:tc>
        <w:tc>
          <w:tcPr>
            <w:tcW w:w="2880" w:type="dxa"/>
            <w:shd w:val="clear" w:color="auto" w:fill="EBF1F9"/>
            <w:vAlign w:val="center"/>
          </w:tcPr>
          <w:p w14:paraId="5FDBC06B" w14:textId="77777777" w:rsidR="008F20FF" w:rsidRDefault="006E3843">
            <w:pPr>
              <w:jc w:val="right"/>
            </w:pPr>
            <w:r>
              <w:rPr>
                <w:rFonts w:ascii="Calibri" w:hAnsi="Calibri"/>
                <w:color w:val="404040"/>
                <w:sz w:val="19"/>
              </w:rPr>
              <w:t>FY2025: $134.3M</w:t>
            </w:r>
          </w:p>
        </w:tc>
        <w:tc>
          <w:tcPr>
            <w:tcW w:w="2880" w:type="dxa"/>
            <w:shd w:val="clear" w:color="auto" w:fill="EBF1F9"/>
            <w:vAlign w:val="center"/>
          </w:tcPr>
          <w:p w14:paraId="0C71AC01" w14:textId="77777777" w:rsidR="008F20FF" w:rsidRDefault="006E3843">
            <w:pPr>
              <w:jc w:val="right"/>
            </w:pPr>
            <w:r>
              <w:rPr>
                <w:rFonts w:ascii="Calibri" w:hAnsi="Calibri"/>
                <w:color w:val="404040"/>
                <w:sz w:val="19"/>
              </w:rPr>
              <w:t>-3.4% from FY2024</w:t>
            </w:r>
          </w:p>
        </w:tc>
      </w:tr>
      <w:tr w:rsidR="008F20FF" w14:paraId="239011CA" w14:textId="77777777">
        <w:trPr>
          <w:jc w:val="center"/>
        </w:trPr>
        <w:tc>
          <w:tcPr>
            <w:tcW w:w="3600" w:type="dxa"/>
            <w:vAlign w:val="center"/>
          </w:tcPr>
          <w:p w14:paraId="5E12F637" w14:textId="77777777" w:rsidR="008F20FF" w:rsidRDefault="006E3843">
            <w:r>
              <w:rPr>
                <w:rFonts w:ascii="Calibri" w:hAnsi="Calibri"/>
                <w:color w:val="404040"/>
                <w:sz w:val="19"/>
              </w:rPr>
              <w:t>Total Transactions</w:t>
            </w:r>
          </w:p>
        </w:tc>
        <w:tc>
          <w:tcPr>
            <w:tcW w:w="2880" w:type="dxa"/>
            <w:vAlign w:val="center"/>
          </w:tcPr>
          <w:p w14:paraId="187C7260" w14:textId="77777777" w:rsidR="008F20FF" w:rsidRDefault="006E3843">
            <w:pPr>
              <w:jc w:val="right"/>
            </w:pPr>
            <w:r>
              <w:rPr>
                <w:rFonts w:ascii="Calibri" w:hAnsi="Calibri"/>
                <w:color w:val="404040"/>
                <w:sz w:val="19"/>
              </w:rPr>
              <w:t>19,884</w:t>
            </w:r>
          </w:p>
        </w:tc>
        <w:tc>
          <w:tcPr>
            <w:tcW w:w="2880" w:type="dxa"/>
            <w:vAlign w:val="center"/>
          </w:tcPr>
          <w:p w14:paraId="793C90E8" w14:textId="77777777" w:rsidR="008F20FF" w:rsidRDefault="006E3843">
            <w:pPr>
              <w:jc w:val="right"/>
            </w:pPr>
            <w:r>
              <w:rPr>
                <w:rFonts w:ascii="Calibri" w:hAnsi="Calibri"/>
                <w:color w:val="404040"/>
                <w:sz w:val="19"/>
              </w:rPr>
              <w:t>60 months of data</w:t>
            </w:r>
          </w:p>
        </w:tc>
      </w:tr>
      <w:tr w:rsidR="008F20FF" w14:paraId="2360F2DA" w14:textId="77777777">
        <w:trPr>
          <w:jc w:val="center"/>
        </w:trPr>
        <w:tc>
          <w:tcPr>
            <w:tcW w:w="3600" w:type="dxa"/>
            <w:shd w:val="clear" w:color="auto" w:fill="EBF1F9"/>
            <w:vAlign w:val="center"/>
          </w:tcPr>
          <w:p w14:paraId="69072F72" w14:textId="77777777" w:rsidR="008F20FF" w:rsidRDefault="006E3843">
            <w:r>
              <w:rPr>
                <w:rFonts w:ascii="Calibri" w:hAnsi="Calibri"/>
                <w:color w:val="404040"/>
                <w:sz w:val="19"/>
              </w:rPr>
              <w:t xml:space="preserve">Vendor </w:t>
            </w:r>
            <w:r>
              <w:rPr>
                <w:rFonts w:ascii="Calibri" w:hAnsi="Calibri"/>
                <w:color w:val="404040"/>
                <w:sz w:val="19"/>
              </w:rPr>
              <w:t>Concentration</w:t>
            </w:r>
          </w:p>
        </w:tc>
        <w:tc>
          <w:tcPr>
            <w:tcW w:w="2880" w:type="dxa"/>
            <w:shd w:val="clear" w:color="auto" w:fill="EBF1F9"/>
            <w:vAlign w:val="center"/>
          </w:tcPr>
          <w:p w14:paraId="53B42A0A" w14:textId="77777777" w:rsidR="008F20FF" w:rsidRDefault="006E3843">
            <w:pPr>
              <w:jc w:val="right"/>
            </w:pPr>
            <w:r>
              <w:rPr>
                <w:rFonts w:ascii="Calibri" w:hAnsi="Calibri"/>
                <w:color w:val="404040"/>
                <w:sz w:val="19"/>
              </w:rPr>
              <w:t>48.6%</w:t>
            </w:r>
          </w:p>
        </w:tc>
        <w:tc>
          <w:tcPr>
            <w:tcW w:w="2880" w:type="dxa"/>
            <w:shd w:val="clear" w:color="auto" w:fill="EBF1F9"/>
            <w:vAlign w:val="center"/>
          </w:tcPr>
          <w:p w14:paraId="41BDA49D" w14:textId="77777777" w:rsidR="008F20FF" w:rsidRDefault="006E3843">
            <w:pPr>
              <w:jc w:val="right"/>
            </w:pPr>
            <w:r>
              <w:rPr>
                <w:rFonts w:ascii="Calibri" w:hAnsi="Calibri"/>
                <w:color w:val="404040"/>
                <w:sz w:val="19"/>
              </w:rPr>
              <w:t>Top 5 vendors = $333.6M</w:t>
            </w:r>
          </w:p>
        </w:tc>
      </w:tr>
      <w:tr w:rsidR="008F20FF" w14:paraId="5E0BA29C" w14:textId="77777777">
        <w:trPr>
          <w:jc w:val="center"/>
        </w:trPr>
        <w:tc>
          <w:tcPr>
            <w:tcW w:w="3600" w:type="dxa"/>
            <w:vAlign w:val="center"/>
          </w:tcPr>
          <w:p w14:paraId="59516A8A" w14:textId="77777777" w:rsidR="008F20FF" w:rsidRDefault="006E3843">
            <w:r>
              <w:rPr>
                <w:rFonts w:ascii="Calibri" w:hAnsi="Calibri"/>
                <w:color w:val="404040"/>
                <w:sz w:val="19"/>
              </w:rPr>
              <w:t>Project Spend (5-yr)</w:t>
            </w:r>
          </w:p>
        </w:tc>
        <w:tc>
          <w:tcPr>
            <w:tcW w:w="2880" w:type="dxa"/>
            <w:vAlign w:val="center"/>
          </w:tcPr>
          <w:p w14:paraId="237105B4" w14:textId="77777777" w:rsidR="008F20FF" w:rsidRDefault="006E3843">
            <w:pPr>
              <w:jc w:val="right"/>
            </w:pPr>
            <w:r>
              <w:rPr>
                <w:rFonts w:ascii="Calibri" w:hAnsi="Calibri"/>
                <w:color w:val="404040"/>
                <w:sz w:val="19"/>
              </w:rPr>
              <w:t>$245.6M (35.8%)</w:t>
            </w:r>
          </w:p>
        </w:tc>
        <w:tc>
          <w:tcPr>
            <w:tcW w:w="2880" w:type="dxa"/>
            <w:vAlign w:val="center"/>
          </w:tcPr>
          <w:p w14:paraId="41F48E80" w14:textId="77777777" w:rsidR="008F20FF" w:rsidRDefault="006E3843">
            <w:pPr>
              <w:jc w:val="right"/>
            </w:pPr>
            <w:r>
              <w:rPr>
                <w:rFonts w:ascii="Calibri" w:hAnsi="Calibri"/>
                <w:color w:val="404040"/>
                <w:sz w:val="19"/>
              </w:rPr>
              <w:t>Flat at ~$49M/year</w:t>
            </w:r>
          </w:p>
        </w:tc>
      </w:tr>
      <w:tr w:rsidR="008F20FF" w14:paraId="2CBB4880" w14:textId="77777777">
        <w:trPr>
          <w:jc w:val="center"/>
        </w:trPr>
        <w:tc>
          <w:tcPr>
            <w:tcW w:w="3600" w:type="dxa"/>
            <w:shd w:val="clear" w:color="auto" w:fill="EBF1F9"/>
            <w:vAlign w:val="center"/>
          </w:tcPr>
          <w:p w14:paraId="7F6A19E7" w14:textId="77777777" w:rsidR="008F20FF" w:rsidRDefault="006E3843">
            <w:r>
              <w:rPr>
                <w:rFonts w:ascii="Calibri" w:hAnsi="Calibri"/>
                <w:color w:val="404040"/>
                <w:sz w:val="19"/>
              </w:rPr>
              <w:t>Identified Savings</w:t>
            </w:r>
          </w:p>
        </w:tc>
        <w:tc>
          <w:tcPr>
            <w:tcW w:w="2880" w:type="dxa"/>
            <w:shd w:val="clear" w:color="auto" w:fill="EBF1F9"/>
            <w:vAlign w:val="center"/>
          </w:tcPr>
          <w:p w14:paraId="2470ADF4" w14:textId="77777777" w:rsidR="008F20FF" w:rsidRDefault="006E3843">
            <w:pPr>
              <w:jc w:val="right"/>
            </w:pPr>
            <w:r>
              <w:rPr>
                <w:rFonts w:ascii="Calibri" w:hAnsi="Calibri"/>
                <w:color w:val="404040"/>
                <w:sz w:val="19"/>
              </w:rPr>
              <w:t>$63M–$87M</w:t>
            </w:r>
          </w:p>
        </w:tc>
        <w:tc>
          <w:tcPr>
            <w:tcW w:w="2880" w:type="dxa"/>
            <w:shd w:val="clear" w:color="auto" w:fill="EBF1F9"/>
            <w:vAlign w:val="center"/>
          </w:tcPr>
          <w:p w14:paraId="11CE2703" w14:textId="77777777" w:rsidR="008F20FF" w:rsidRDefault="006E3843">
            <w:pPr>
              <w:jc w:val="right"/>
            </w:pPr>
            <w:r>
              <w:rPr>
                <w:rFonts w:ascii="Calibri" w:hAnsi="Calibri"/>
                <w:color w:val="404040"/>
                <w:sz w:val="19"/>
              </w:rPr>
              <w:t>9–13% of total portfolio</w:t>
            </w:r>
          </w:p>
        </w:tc>
      </w:tr>
    </w:tbl>
    <w:p w14:paraId="27D928FF" w14:textId="77777777" w:rsidR="008F20FF" w:rsidRDefault="008F20FF"/>
    <w:p w14:paraId="510697F3" w14:textId="77777777" w:rsidR="008F20FF" w:rsidRDefault="006E3843">
      <w:r>
        <w:br w:type="page"/>
      </w:r>
    </w:p>
    <w:p w14:paraId="050032E7" w14:textId="77777777" w:rsidR="008F20FF" w:rsidRDefault="006E3843">
      <w:pPr>
        <w:shd w:val="clear" w:color="auto" w:fill="1F3864"/>
        <w:spacing w:before="280" w:after="80"/>
      </w:pPr>
      <w:r>
        <w:rPr>
          <w:rFonts w:ascii="Calibri" w:hAnsi="Calibri"/>
          <w:b/>
          <w:color w:val="FFFFFF"/>
          <w:sz w:val="26"/>
        </w:rPr>
        <w:lastRenderedPageBreak/>
        <w:t xml:space="preserve">  2.  The Business Problem</w:t>
      </w:r>
    </w:p>
    <w:p w14:paraId="73AD716D" w14:textId="77777777" w:rsidR="008F20FF" w:rsidRDefault="008F20FF">
      <w:pPr>
        <w:spacing w:after="120"/>
      </w:pPr>
    </w:p>
    <w:p w14:paraId="5FE55490" w14:textId="77777777" w:rsidR="008F20FF" w:rsidRDefault="006E3843">
      <w:pPr>
        <w:pBdr>
          <w:bottom w:val="single" w:sz="4" w:space="1" w:color="2F5597"/>
        </w:pBdr>
        <w:spacing w:before="200" w:after="60"/>
      </w:pPr>
      <w:r>
        <w:rPr>
          <w:rFonts w:ascii="Calibri" w:hAnsi="Calibri"/>
          <w:b/>
          <w:color w:val="1F3864"/>
        </w:rPr>
        <w:t>2.1  Context</w:t>
      </w:r>
    </w:p>
    <w:p w14:paraId="7BE9FCCA" w14:textId="77777777" w:rsidR="008F20FF" w:rsidRDefault="006E3843">
      <w:pPr>
        <w:spacing w:after="160"/>
      </w:pPr>
      <w:r>
        <w:rPr>
          <w:rFonts w:ascii="Calibri" w:hAnsi="Calibri"/>
          <w:sz w:val="21"/>
        </w:rPr>
        <w:t xml:space="preserve">Nexora Technologies operates a $137M annual IT </w:t>
      </w:r>
      <w:r>
        <w:rPr>
          <w:rFonts w:ascii="Calibri" w:hAnsi="Calibri"/>
          <w:sz w:val="21"/>
        </w:rPr>
        <w:t>portfolio across five distinct Business Units: Digital Platforms (27.7%), Enterprise Infrastructure (22.0%), Corporate Applications (19.1%), Data &amp; Analytics (17.5%), and Cybersecurity &amp; Risk (13.6%). CIO Marcus Ellison oversees five senior leaders — a CDO, SVP, VP, Chief Data Officer, and CISO — each responsible for their own budget, vendors, and cost centers.</w:t>
      </w:r>
    </w:p>
    <w:p w14:paraId="5A93C179" w14:textId="77777777" w:rsidR="008F20FF" w:rsidRDefault="006E3843">
      <w:pPr>
        <w:spacing w:after="160"/>
      </w:pPr>
      <w:r>
        <w:rPr>
          <w:rFonts w:ascii="Calibri" w:hAnsi="Calibri"/>
          <w:sz w:val="21"/>
        </w:rPr>
        <w:t>Despite this scale and organizational complexity, financial reporting consisted of raw transactional exports. A record-level dataset with nineteen fields and 19,884 rows provided no aggregated view of where money was going, why costs were rising or falling, or which vendors represented concentration risk. Business decisions were being made without a financial intelligence layer.</w:t>
      </w:r>
    </w:p>
    <w:p w14:paraId="717234F7" w14:textId="77777777" w:rsidR="008F20FF" w:rsidRDefault="006E3843">
      <w:pPr>
        <w:pBdr>
          <w:bottom w:val="single" w:sz="4" w:space="1" w:color="2F5597"/>
        </w:pBdr>
        <w:spacing w:before="200" w:after="60"/>
      </w:pPr>
      <w:r>
        <w:rPr>
          <w:rFonts w:ascii="Calibri" w:hAnsi="Calibri"/>
          <w:b/>
          <w:color w:val="1F3864"/>
        </w:rPr>
        <w:t>2.2  The Governance Gap</w:t>
      </w:r>
    </w:p>
    <w:p w14:paraId="4566EB28" w14:textId="77777777" w:rsidR="008F20FF" w:rsidRDefault="006E3843">
      <w:pPr>
        <w:pStyle w:val="ListBullet"/>
        <w:spacing w:before="20" w:after="60"/>
      </w:pPr>
      <w:r>
        <w:rPr>
          <w:rFonts w:ascii="Calibri" w:hAnsi="Calibri"/>
          <w:sz w:val="21"/>
        </w:rPr>
        <w:t>The CFO could not answer: which Business Unit is over-spending vs. prior year, and why?</w:t>
      </w:r>
    </w:p>
    <w:p w14:paraId="18582816" w14:textId="77777777" w:rsidR="008F20FF" w:rsidRDefault="006E3843">
      <w:pPr>
        <w:pStyle w:val="ListBullet"/>
        <w:spacing w:before="20" w:after="60"/>
      </w:pPr>
      <w:r>
        <w:rPr>
          <w:rFonts w:ascii="Calibri" w:hAnsi="Calibri"/>
          <w:sz w:val="21"/>
        </w:rPr>
        <w:t>The CIO could not answer: are we investing enough in Cybersecurity relative to risk exposure?</w:t>
      </w:r>
    </w:p>
    <w:p w14:paraId="0906A392" w14:textId="77777777" w:rsidR="008F20FF" w:rsidRDefault="006E3843">
      <w:pPr>
        <w:pStyle w:val="ListBullet"/>
        <w:spacing w:before="20" w:after="60"/>
      </w:pPr>
      <w:r>
        <w:rPr>
          <w:rFonts w:ascii="Calibri" w:hAnsi="Calibri"/>
          <w:sz w:val="21"/>
        </w:rPr>
        <w:t xml:space="preserve">Procurement had no visibility into vendor concentration or </w:t>
      </w:r>
      <w:r>
        <w:rPr>
          <w:rFonts w:ascii="Calibri" w:hAnsi="Calibri"/>
          <w:sz w:val="21"/>
        </w:rPr>
        <w:t>contract renegotiation timing.</w:t>
      </w:r>
    </w:p>
    <w:p w14:paraId="5EBDC7C4" w14:textId="77777777" w:rsidR="008F20FF" w:rsidRDefault="006E3843">
      <w:pPr>
        <w:pStyle w:val="ListBullet"/>
        <w:spacing w:before="20" w:after="60"/>
      </w:pPr>
      <w:r>
        <w:rPr>
          <w:rFonts w:ascii="Calibri" w:hAnsi="Calibri"/>
          <w:sz w:val="21"/>
        </w:rPr>
        <w:t>The board had no view of the Project/Run ratio — the fundamental strategic investment indicator.</w:t>
      </w:r>
    </w:p>
    <w:p w14:paraId="31A59F18" w14:textId="77777777" w:rsidR="008F20FF" w:rsidRDefault="006E3843">
      <w:pPr>
        <w:pStyle w:val="ListBullet"/>
        <w:spacing w:before="20" w:after="60"/>
      </w:pPr>
      <w:r>
        <w:rPr>
          <w:rFonts w:ascii="Calibri" w:hAnsi="Calibri"/>
          <w:sz w:val="21"/>
        </w:rPr>
        <w:t>No one could identify that project spend has been flat for five consecutive years — a governance failure.</w:t>
      </w:r>
    </w:p>
    <w:p w14:paraId="39D51CFB" w14:textId="77777777" w:rsidR="008F20FF" w:rsidRDefault="006E3843">
      <w:pPr>
        <w:pBdr>
          <w:left w:val="single" w:sz="16" w:space="4" w:color="C00000"/>
        </w:pBdr>
        <w:shd w:val="clear" w:color="auto" w:fill="FCE4D6"/>
        <w:spacing w:before="160" w:after="160"/>
        <w:ind w:left="432" w:right="432"/>
      </w:pPr>
      <w:r>
        <w:rPr>
          <w:rFonts w:ascii="Calibri" w:hAnsi="Calibri"/>
          <w:i/>
          <w:color w:val="1F3864"/>
          <w:sz w:val="21"/>
        </w:rPr>
        <w:t xml:space="preserve">The absence of IT </w:t>
      </w:r>
      <w:r>
        <w:rPr>
          <w:rFonts w:ascii="Calibri" w:hAnsi="Calibri"/>
          <w:i/>
          <w:color w:val="1F3864"/>
          <w:sz w:val="21"/>
        </w:rPr>
        <w:t>financial intelligence at $686M of spend is not a data problem — it is a governance problem. This project addresses it.</w:t>
      </w:r>
    </w:p>
    <w:p w14:paraId="3FC5AB0A" w14:textId="77777777" w:rsidR="008F20FF" w:rsidRDefault="006E3843">
      <w:pPr>
        <w:pBdr>
          <w:bottom w:val="single" w:sz="4" w:space="1" w:color="2F5597"/>
        </w:pBdr>
        <w:spacing w:before="200" w:after="60"/>
      </w:pPr>
      <w:r>
        <w:rPr>
          <w:rFonts w:ascii="Calibri" w:hAnsi="Calibri"/>
          <w:b/>
          <w:color w:val="1F3864"/>
        </w:rPr>
        <w:t>2.3  Stakeholder Requirements</w:t>
      </w:r>
    </w:p>
    <w:tbl>
      <w:tblPr>
        <w:tblStyle w:val="TableGrid"/>
        <w:tblW w:w="0" w:type="auto"/>
        <w:jc w:val="center"/>
        <w:tblLook w:val="04A0" w:firstRow="1" w:lastRow="0" w:firstColumn="1" w:lastColumn="0" w:noHBand="0" w:noVBand="1"/>
      </w:tblPr>
      <w:tblGrid>
        <w:gridCol w:w="2592"/>
        <w:gridCol w:w="3744"/>
        <w:gridCol w:w="3024"/>
      </w:tblGrid>
      <w:tr w:rsidR="008F20FF" w14:paraId="6E3FD514" w14:textId="77777777">
        <w:trPr>
          <w:jc w:val="center"/>
        </w:trPr>
        <w:tc>
          <w:tcPr>
            <w:tcW w:w="2592" w:type="dxa"/>
            <w:shd w:val="clear" w:color="auto" w:fill="1F3864"/>
            <w:vAlign w:val="center"/>
          </w:tcPr>
          <w:p w14:paraId="1D3F8104" w14:textId="77777777" w:rsidR="008F20FF" w:rsidRDefault="006E3843">
            <w:pPr>
              <w:jc w:val="center"/>
            </w:pPr>
            <w:r>
              <w:rPr>
                <w:rFonts w:ascii="Calibri" w:hAnsi="Calibri"/>
                <w:b/>
                <w:color w:val="FFFFFF"/>
                <w:sz w:val="19"/>
              </w:rPr>
              <w:t>Stakeholder</w:t>
            </w:r>
          </w:p>
        </w:tc>
        <w:tc>
          <w:tcPr>
            <w:tcW w:w="3744" w:type="dxa"/>
            <w:shd w:val="clear" w:color="auto" w:fill="1F3864"/>
            <w:vAlign w:val="center"/>
          </w:tcPr>
          <w:p w14:paraId="28453CE3" w14:textId="77777777" w:rsidR="008F20FF" w:rsidRDefault="006E3843">
            <w:pPr>
              <w:jc w:val="center"/>
            </w:pPr>
            <w:r>
              <w:rPr>
                <w:rFonts w:ascii="Calibri" w:hAnsi="Calibri"/>
                <w:b/>
                <w:color w:val="FFFFFF"/>
                <w:sz w:val="19"/>
              </w:rPr>
              <w:t>Primary Question</w:t>
            </w:r>
          </w:p>
        </w:tc>
        <w:tc>
          <w:tcPr>
            <w:tcW w:w="3024" w:type="dxa"/>
            <w:shd w:val="clear" w:color="auto" w:fill="1F3864"/>
            <w:vAlign w:val="center"/>
          </w:tcPr>
          <w:p w14:paraId="033DA06B" w14:textId="77777777" w:rsidR="008F20FF" w:rsidRDefault="006E3843">
            <w:pPr>
              <w:jc w:val="center"/>
            </w:pPr>
            <w:r>
              <w:rPr>
                <w:rFonts w:ascii="Calibri" w:hAnsi="Calibri"/>
                <w:b/>
                <w:color w:val="FFFFFF"/>
                <w:sz w:val="19"/>
              </w:rPr>
              <w:t>Deliverable</w:t>
            </w:r>
          </w:p>
        </w:tc>
      </w:tr>
      <w:tr w:rsidR="008F20FF" w14:paraId="1F3E6400" w14:textId="77777777">
        <w:trPr>
          <w:jc w:val="center"/>
        </w:trPr>
        <w:tc>
          <w:tcPr>
            <w:tcW w:w="2592" w:type="dxa"/>
            <w:vAlign w:val="center"/>
          </w:tcPr>
          <w:p w14:paraId="21DE408E" w14:textId="77777777" w:rsidR="008F20FF" w:rsidRDefault="006E3843">
            <w:r>
              <w:rPr>
                <w:rFonts w:ascii="Calibri" w:hAnsi="Calibri"/>
                <w:color w:val="404040"/>
                <w:sz w:val="19"/>
              </w:rPr>
              <w:t>CIO (Marcus Ellison)</w:t>
            </w:r>
          </w:p>
        </w:tc>
        <w:tc>
          <w:tcPr>
            <w:tcW w:w="3744" w:type="dxa"/>
            <w:vAlign w:val="center"/>
          </w:tcPr>
          <w:p w14:paraId="665F3B5C" w14:textId="77777777" w:rsidR="008F20FF" w:rsidRDefault="006E3843">
            <w:pPr>
              <w:jc w:val="right"/>
            </w:pPr>
            <w:r>
              <w:rPr>
                <w:rFonts w:ascii="Calibri" w:hAnsi="Calibri"/>
                <w:color w:val="404040"/>
                <w:sz w:val="19"/>
              </w:rPr>
              <w:t>How is total IT spend trending? Which BUs need attention?</w:t>
            </w:r>
          </w:p>
        </w:tc>
        <w:tc>
          <w:tcPr>
            <w:tcW w:w="3024" w:type="dxa"/>
            <w:vAlign w:val="center"/>
          </w:tcPr>
          <w:p w14:paraId="6E7525F7" w14:textId="77777777" w:rsidR="008F20FF" w:rsidRDefault="006E3843">
            <w:pPr>
              <w:jc w:val="right"/>
            </w:pPr>
            <w:r>
              <w:rPr>
                <w:rFonts w:ascii="Calibri" w:hAnsi="Calibri"/>
                <w:color w:val="404040"/>
                <w:sz w:val="19"/>
              </w:rPr>
              <w:t>Executive Dashboard + Exec Summary slide</w:t>
            </w:r>
          </w:p>
        </w:tc>
      </w:tr>
      <w:tr w:rsidR="008F20FF" w14:paraId="6A0C1DA0" w14:textId="77777777">
        <w:trPr>
          <w:jc w:val="center"/>
        </w:trPr>
        <w:tc>
          <w:tcPr>
            <w:tcW w:w="2592" w:type="dxa"/>
            <w:shd w:val="clear" w:color="auto" w:fill="EBF1F9"/>
            <w:vAlign w:val="center"/>
          </w:tcPr>
          <w:p w14:paraId="378F23CD" w14:textId="77777777" w:rsidR="008F20FF" w:rsidRDefault="006E3843">
            <w:r>
              <w:rPr>
                <w:rFonts w:ascii="Calibri" w:hAnsi="Calibri"/>
                <w:color w:val="404040"/>
                <w:sz w:val="19"/>
              </w:rPr>
              <w:t>CFO</w:t>
            </w:r>
          </w:p>
        </w:tc>
        <w:tc>
          <w:tcPr>
            <w:tcW w:w="3744" w:type="dxa"/>
            <w:shd w:val="clear" w:color="auto" w:fill="EBF1F9"/>
            <w:vAlign w:val="center"/>
          </w:tcPr>
          <w:p w14:paraId="095D341C" w14:textId="77777777" w:rsidR="008F20FF" w:rsidRDefault="006E3843">
            <w:pPr>
              <w:jc w:val="right"/>
            </w:pPr>
            <w:r>
              <w:rPr>
                <w:rFonts w:ascii="Calibri" w:hAnsi="Calibri"/>
                <w:color w:val="404040"/>
                <w:sz w:val="19"/>
              </w:rPr>
              <w:t>Where are cost risks? What savings are available?</w:t>
            </w:r>
          </w:p>
        </w:tc>
        <w:tc>
          <w:tcPr>
            <w:tcW w:w="3024" w:type="dxa"/>
            <w:shd w:val="clear" w:color="auto" w:fill="EBF1F9"/>
            <w:vAlign w:val="center"/>
          </w:tcPr>
          <w:p w14:paraId="57A4D855" w14:textId="77777777" w:rsidR="008F20FF" w:rsidRDefault="006E3843">
            <w:pPr>
              <w:jc w:val="right"/>
            </w:pPr>
            <w:r>
              <w:rPr>
                <w:rFonts w:ascii="Calibri" w:hAnsi="Calibri"/>
                <w:color w:val="404040"/>
                <w:sz w:val="19"/>
              </w:rPr>
              <w:t>Risk/Savings slides + Vendor Dashboard</w:t>
            </w:r>
          </w:p>
        </w:tc>
      </w:tr>
      <w:tr w:rsidR="008F20FF" w14:paraId="281FC559" w14:textId="77777777">
        <w:trPr>
          <w:jc w:val="center"/>
        </w:trPr>
        <w:tc>
          <w:tcPr>
            <w:tcW w:w="2592" w:type="dxa"/>
            <w:vAlign w:val="center"/>
          </w:tcPr>
          <w:p w14:paraId="6DD980C7" w14:textId="77777777" w:rsidR="008F20FF" w:rsidRDefault="006E3843">
            <w:r>
              <w:rPr>
                <w:rFonts w:ascii="Calibri" w:hAnsi="Calibri"/>
                <w:color w:val="404040"/>
                <w:sz w:val="19"/>
              </w:rPr>
              <w:t>BU Leads</w:t>
            </w:r>
          </w:p>
        </w:tc>
        <w:tc>
          <w:tcPr>
            <w:tcW w:w="3744" w:type="dxa"/>
            <w:vAlign w:val="center"/>
          </w:tcPr>
          <w:p w14:paraId="4C2E4396" w14:textId="77777777" w:rsidR="008F20FF" w:rsidRDefault="006E3843">
            <w:pPr>
              <w:jc w:val="right"/>
            </w:pPr>
            <w:r>
              <w:rPr>
                <w:rFonts w:ascii="Calibri" w:hAnsi="Calibri"/>
                <w:color w:val="404040"/>
                <w:sz w:val="19"/>
              </w:rPr>
              <w:t>How is my budget tracking vs. prior year?</w:t>
            </w:r>
          </w:p>
        </w:tc>
        <w:tc>
          <w:tcPr>
            <w:tcW w:w="3024" w:type="dxa"/>
            <w:vAlign w:val="center"/>
          </w:tcPr>
          <w:p w14:paraId="25E39D8C" w14:textId="77777777" w:rsidR="008F20FF" w:rsidRDefault="006E3843">
            <w:pPr>
              <w:jc w:val="right"/>
            </w:pPr>
            <w:r>
              <w:rPr>
                <w:rFonts w:ascii="Calibri" w:hAnsi="Calibri"/>
                <w:color w:val="404040"/>
                <w:sz w:val="19"/>
              </w:rPr>
              <w:t>BU Dashboard + Cost Center Dashboard</w:t>
            </w:r>
          </w:p>
        </w:tc>
      </w:tr>
      <w:tr w:rsidR="008F20FF" w14:paraId="2239E7EA" w14:textId="77777777">
        <w:trPr>
          <w:jc w:val="center"/>
        </w:trPr>
        <w:tc>
          <w:tcPr>
            <w:tcW w:w="2592" w:type="dxa"/>
            <w:shd w:val="clear" w:color="auto" w:fill="EBF1F9"/>
            <w:vAlign w:val="center"/>
          </w:tcPr>
          <w:p w14:paraId="65E2B7BA" w14:textId="77777777" w:rsidR="008F20FF" w:rsidRDefault="006E3843">
            <w:r>
              <w:rPr>
                <w:rFonts w:ascii="Calibri" w:hAnsi="Calibri"/>
                <w:color w:val="404040"/>
                <w:sz w:val="19"/>
              </w:rPr>
              <w:t>Procurement</w:t>
            </w:r>
          </w:p>
        </w:tc>
        <w:tc>
          <w:tcPr>
            <w:tcW w:w="3744" w:type="dxa"/>
            <w:shd w:val="clear" w:color="auto" w:fill="EBF1F9"/>
            <w:vAlign w:val="center"/>
          </w:tcPr>
          <w:p w14:paraId="45AF56F4" w14:textId="77777777" w:rsidR="008F20FF" w:rsidRDefault="006E3843">
            <w:pPr>
              <w:jc w:val="right"/>
            </w:pPr>
            <w:r>
              <w:rPr>
                <w:rFonts w:ascii="Calibri" w:hAnsi="Calibri"/>
                <w:color w:val="404040"/>
                <w:sz w:val="19"/>
              </w:rPr>
              <w:t>Which vendors have concentration risk?</w:t>
            </w:r>
          </w:p>
        </w:tc>
        <w:tc>
          <w:tcPr>
            <w:tcW w:w="3024" w:type="dxa"/>
            <w:shd w:val="clear" w:color="auto" w:fill="EBF1F9"/>
            <w:vAlign w:val="center"/>
          </w:tcPr>
          <w:p w14:paraId="72A79632" w14:textId="77777777" w:rsidR="008F20FF" w:rsidRDefault="006E3843">
            <w:pPr>
              <w:jc w:val="right"/>
            </w:pPr>
            <w:r>
              <w:rPr>
                <w:rFonts w:ascii="Calibri" w:hAnsi="Calibri"/>
                <w:color w:val="404040"/>
                <w:sz w:val="19"/>
              </w:rPr>
              <w:t>Vendor Dashboard + concentration analysis</w:t>
            </w:r>
          </w:p>
        </w:tc>
      </w:tr>
      <w:tr w:rsidR="008F20FF" w14:paraId="66081E1C" w14:textId="77777777">
        <w:trPr>
          <w:jc w:val="center"/>
        </w:trPr>
        <w:tc>
          <w:tcPr>
            <w:tcW w:w="2592" w:type="dxa"/>
            <w:vAlign w:val="center"/>
          </w:tcPr>
          <w:p w14:paraId="2282B747" w14:textId="77777777" w:rsidR="008F20FF" w:rsidRDefault="006E3843">
            <w:r>
              <w:rPr>
                <w:rFonts w:ascii="Calibri" w:hAnsi="Calibri"/>
                <w:color w:val="404040"/>
                <w:sz w:val="19"/>
              </w:rPr>
              <w:t>IT Finance Team</w:t>
            </w:r>
          </w:p>
        </w:tc>
        <w:tc>
          <w:tcPr>
            <w:tcW w:w="3744" w:type="dxa"/>
            <w:vAlign w:val="center"/>
          </w:tcPr>
          <w:p w14:paraId="0BBDEC46" w14:textId="77777777" w:rsidR="008F20FF" w:rsidRDefault="006E3843">
            <w:pPr>
              <w:jc w:val="right"/>
            </w:pPr>
            <w:r>
              <w:rPr>
                <w:rFonts w:ascii="Calibri" w:hAnsi="Calibri"/>
                <w:color w:val="404040"/>
                <w:sz w:val="19"/>
              </w:rPr>
              <w:t>Where does every dollar go, by GL and month?</w:t>
            </w:r>
          </w:p>
        </w:tc>
        <w:tc>
          <w:tcPr>
            <w:tcW w:w="3024" w:type="dxa"/>
            <w:vAlign w:val="center"/>
          </w:tcPr>
          <w:p w14:paraId="101DE5DE" w14:textId="77777777" w:rsidR="008F20FF" w:rsidRDefault="006E3843">
            <w:pPr>
              <w:jc w:val="right"/>
            </w:pPr>
            <w:r>
              <w:rPr>
                <w:rFonts w:ascii="Calibri" w:hAnsi="Calibri"/>
                <w:color w:val="404040"/>
                <w:sz w:val="19"/>
              </w:rPr>
              <w:t>Raw Data tab + Data Model tab</w:t>
            </w:r>
          </w:p>
        </w:tc>
      </w:tr>
    </w:tbl>
    <w:p w14:paraId="6077F54E" w14:textId="77777777" w:rsidR="008F20FF" w:rsidRDefault="008F20FF"/>
    <w:p w14:paraId="750AA912" w14:textId="77777777" w:rsidR="008F20FF" w:rsidRDefault="006E3843">
      <w:r>
        <w:br w:type="page"/>
      </w:r>
    </w:p>
    <w:p w14:paraId="3504FB6B" w14:textId="77777777" w:rsidR="008F20FF" w:rsidRDefault="006E3843">
      <w:pPr>
        <w:shd w:val="clear" w:color="auto" w:fill="1F3864"/>
        <w:spacing w:before="280" w:after="80"/>
      </w:pPr>
      <w:r>
        <w:rPr>
          <w:rFonts w:ascii="Calibri" w:hAnsi="Calibri"/>
          <w:b/>
          <w:color w:val="FFFFFF"/>
          <w:sz w:val="26"/>
        </w:rPr>
        <w:lastRenderedPageBreak/>
        <w:t xml:space="preserve">  3.  Dataset Overview &amp; Data Quality</w:t>
      </w:r>
    </w:p>
    <w:p w14:paraId="1B2E16A8" w14:textId="77777777" w:rsidR="008F20FF" w:rsidRDefault="008F20FF">
      <w:pPr>
        <w:spacing w:after="120"/>
      </w:pPr>
    </w:p>
    <w:p w14:paraId="5227FC41" w14:textId="77777777" w:rsidR="008F20FF" w:rsidRDefault="006E3843">
      <w:pPr>
        <w:pBdr>
          <w:bottom w:val="single" w:sz="4" w:space="1" w:color="2F5597"/>
        </w:pBdr>
        <w:spacing w:before="200" w:after="60"/>
      </w:pPr>
      <w:r>
        <w:rPr>
          <w:rFonts w:ascii="Calibri" w:hAnsi="Calibri"/>
          <w:b/>
          <w:color w:val="1F3864"/>
        </w:rPr>
        <w:t>3.1  Source and Structure</w:t>
      </w:r>
    </w:p>
    <w:p w14:paraId="63051F8E" w14:textId="77777777" w:rsidR="008F20FF" w:rsidRDefault="006E3843">
      <w:pPr>
        <w:spacing w:after="160"/>
      </w:pPr>
      <w:r>
        <w:rPr>
          <w:rFonts w:ascii="Calibri" w:hAnsi="Calibri"/>
          <w:sz w:val="21"/>
        </w:rPr>
        <w:t>The source file — Nexora_Transactional_IT_Dataset.xlsx — contains three sheets: Company Overview (metadata), Raw Transactions (primary analysis dataset), and Monthly Summary (pre-aggregated reference). All analytical work was performed against the Raw Transactions sheet to maintain full granularity and avoid reliance on pre-computed figures.</w:t>
      </w:r>
    </w:p>
    <w:p w14:paraId="56987189" w14:textId="77777777" w:rsidR="008F20FF" w:rsidRDefault="006E3843">
      <w:pPr>
        <w:pBdr>
          <w:bottom w:val="single" w:sz="4" w:space="1" w:color="2F5597"/>
        </w:pBdr>
        <w:spacing w:before="200" w:after="60"/>
      </w:pPr>
      <w:r>
        <w:rPr>
          <w:rFonts w:ascii="Calibri" w:hAnsi="Calibri"/>
          <w:b/>
          <w:color w:val="1F3864"/>
        </w:rPr>
        <w:t>3.2  Data Dictionary</w:t>
      </w:r>
    </w:p>
    <w:tbl>
      <w:tblPr>
        <w:tblStyle w:val="TableGrid"/>
        <w:tblW w:w="0" w:type="auto"/>
        <w:jc w:val="center"/>
        <w:tblLook w:val="04A0" w:firstRow="1" w:lastRow="0" w:firstColumn="1" w:lastColumn="0" w:noHBand="0" w:noVBand="1"/>
      </w:tblPr>
      <w:tblGrid>
        <w:gridCol w:w="2592"/>
        <w:gridCol w:w="1008"/>
        <w:gridCol w:w="3600"/>
        <w:gridCol w:w="2160"/>
      </w:tblGrid>
      <w:tr w:rsidR="008F20FF" w14:paraId="5F2EB68A" w14:textId="77777777">
        <w:trPr>
          <w:jc w:val="center"/>
        </w:trPr>
        <w:tc>
          <w:tcPr>
            <w:tcW w:w="2592" w:type="dxa"/>
            <w:shd w:val="clear" w:color="auto" w:fill="1F3864"/>
            <w:vAlign w:val="center"/>
          </w:tcPr>
          <w:p w14:paraId="314884A4" w14:textId="77777777" w:rsidR="008F20FF" w:rsidRDefault="006E3843">
            <w:pPr>
              <w:jc w:val="center"/>
            </w:pPr>
            <w:r>
              <w:rPr>
                <w:rFonts w:ascii="Calibri" w:hAnsi="Calibri"/>
                <w:b/>
                <w:color w:val="FFFFFF"/>
                <w:sz w:val="19"/>
              </w:rPr>
              <w:t>Field</w:t>
            </w:r>
          </w:p>
        </w:tc>
        <w:tc>
          <w:tcPr>
            <w:tcW w:w="1008" w:type="dxa"/>
            <w:shd w:val="clear" w:color="auto" w:fill="1F3864"/>
            <w:vAlign w:val="center"/>
          </w:tcPr>
          <w:p w14:paraId="46154252" w14:textId="77777777" w:rsidR="008F20FF" w:rsidRDefault="006E3843">
            <w:pPr>
              <w:jc w:val="center"/>
            </w:pPr>
            <w:r>
              <w:rPr>
                <w:rFonts w:ascii="Calibri" w:hAnsi="Calibri"/>
                <w:b/>
                <w:color w:val="FFFFFF"/>
                <w:sz w:val="19"/>
              </w:rPr>
              <w:t>Type</w:t>
            </w:r>
          </w:p>
        </w:tc>
        <w:tc>
          <w:tcPr>
            <w:tcW w:w="3600" w:type="dxa"/>
            <w:shd w:val="clear" w:color="auto" w:fill="1F3864"/>
            <w:vAlign w:val="center"/>
          </w:tcPr>
          <w:p w14:paraId="389E2D37" w14:textId="77777777" w:rsidR="008F20FF" w:rsidRDefault="006E3843">
            <w:pPr>
              <w:jc w:val="center"/>
            </w:pPr>
            <w:r>
              <w:rPr>
                <w:rFonts w:ascii="Calibri" w:hAnsi="Calibri"/>
                <w:b/>
                <w:color w:val="FFFFFF"/>
                <w:sz w:val="19"/>
              </w:rPr>
              <w:t>Description</w:t>
            </w:r>
          </w:p>
        </w:tc>
        <w:tc>
          <w:tcPr>
            <w:tcW w:w="2160" w:type="dxa"/>
            <w:shd w:val="clear" w:color="auto" w:fill="1F3864"/>
            <w:vAlign w:val="center"/>
          </w:tcPr>
          <w:p w14:paraId="27396043" w14:textId="77777777" w:rsidR="008F20FF" w:rsidRDefault="006E3843">
            <w:pPr>
              <w:jc w:val="center"/>
            </w:pPr>
            <w:r>
              <w:rPr>
                <w:rFonts w:ascii="Calibri" w:hAnsi="Calibri"/>
                <w:b/>
                <w:color w:val="FFFFFF"/>
                <w:sz w:val="19"/>
              </w:rPr>
              <w:t>Sample</w:t>
            </w:r>
          </w:p>
        </w:tc>
      </w:tr>
      <w:tr w:rsidR="008F20FF" w14:paraId="604F8A5C" w14:textId="77777777">
        <w:trPr>
          <w:jc w:val="center"/>
        </w:trPr>
        <w:tc>
          <w:tcPr>
            <w:tcW w:w="2592" w:type="dxa"/>
            <w:vAlign w:val="center"/>
          </w:tcPr>
          <w:p w14:paraId="1E1DC1EC" w14:textId="77777777" w:rsidR="008F20FF" w:rsidRDefault="006E3843">
            <w:r>
              <w:rPr>
                <w:rFonts w:ascii="Calibri" w:hAnsi="Calibri"/>
                <w:color w:val="404040"/>
                <w:sz w:val="19"/>
              </w:rPr>
              <w:t>Transaction Date</w:t>
            </w:r>
          </w:p>
        </w:tc>
        <w:tc>
          <w:tcPr>
            <w:tcW w:w="1008" w:type="dxa"/>
            <w:vAlign w:val="center"/>
          </w:tcPr>
          <w:p w14:paraId="76A542E3" w14:textId="77777777" w:rsidR="008F20FF" w:rsidRDefault="006E3843">
            <w:pPr>
              <w:jc w:val="right"/>
            </w:pPr>
            <w:r>
              <w:rPr>
                <w:rFonts w:ascii="Calibri" w:hAnsi="Calibri"/>
                <w:color w:val="404040"/>
                <w:sz w:val="19"/>
              </w:rPr>
              <w:t>Date</w:t>
            </w:r>
          </w:p>
        </w:tc>
        <w:tc>
          <w:tcPr>
            <w:tcW w:w="3600" w:type="dxa"/>
            <w:vAlign w:val="center"/>
          </w:tcPr>
          <w:p w14:paraId="3D03FB98" w14:textId="77777777" w:rsidR="008F20FF" w:rsidRDefault="006E3843">
            <w:pPr>
              <w:jc w:val="right"/>
            </w:pPr>
            <w:r>
              <w:rPr>
                <w:rFonts w:ascii="Calibri" w:hAnsi="Calibri"/>
                <w:color w:val="404040"/>
                <w:sz w:val="19"/>
              </w:rPr>
              <w:t>Invoice/posting date</w:t>
            </w:r>
          </w:p>
        </w:tc>
        <w:tc>
          <w:tcPr>
            <w:tcW w:w="2160" w:type="dxa"/>
            <w:vAlign w:val="center"/>
          </w:tcPr>
          <w:p w14:paraId="5CD7DD3E" w14:textId="77777777" w:rsidR="008F20FF" w:rsidRDefault="006E3843">
            <w:pPr>
              <w:jc w:val="right"/>
            </w:pPr>
            <w:r>
              <w:rPr>
                <w:rFonts w:ascii="Calibri" w:hAnsi="Calibri"/>
                <w:color w:val="404040"/>
                <w:sz w:val="19"/>
              </w:rPr>
              <w:t>2021-03-15</w:t>
            </w:r>
          </w:p>
        </w:tc>
      </w:tr>
      <w:tr w:rsidR="008F20FF" w14:paraId="4001A4E5" w14:textId="77777777">
        <w:trPr>
          <w:jc w:val="center"/>
        </w:trPr>
        <w:tc>
          <w:tcPr>
            <w:tcW w:w="2592" w:type="dxa"/>
            <w:shd w:val="clear" w:color="auto" w:fill="EBF1F9"/>
            <w:vAlign w:val="center"/>
          </w:tcPr>
          <w:p w14:paraId="667BC868" w14:textId="77777777" w:rsidR="008F20FF" w:rsidRDefault="006E3843">
            <w:r>
              <w:rPr>
                <w:rFonts w:ascii="Calibri" w:hAnsi="Calibri"/>
                <w:color w:val="404040"/>
                <w:sz w:val="19"/>
              </w:rPr>
              <w:t>Fiscal Year</w:t>
            </w:r>
          </w:p>
        </w:tc>
        <w:tc>
          <w:tcPr>
            <w:tcW w:w="1008" w:type="dxa"/>
            <w:shd w:val="clear" w:color="auto" w:fill="EBF1F9"/>
            <w:vAlign w:val="center"/>
          </w:tcPr>
          <w:p w14:paraId="35C42795" w14:textId="77777777" w:rsidR="008F20FF" w:rsidRDefault="006E3843">
            <w:pPr>
              <w:jc w:val="right"/>
            </w:pPr>
            <w:r>
              <w:rPr>
                <w:rFonts w:ascii="Calibri" w:hAnsi="Calibri"/>
                <w:color w:val="404040"/>
                <w:sz w:val="19"/>
              </w:rPr>
              <w:t>Integer</w:t>
            </w:r>
          </w:p>
        </w:tc>
        <w:tc>
          <w:tcPr>
            <w:tcW w:w="3600" w:type="dxa"/>
            <w:shd w:val="clear" w:color="auto" w:fill="EBF1F9"/>
            <w:vAlign w:val="center"/>
          </w:tcPr>
          <w:p w14:paraId="412F44E3" w14:textId="77777777" w:rsidR="008F20FF" w:rsidRDefault="006E3843">
            <w:pPr>
              <w:jc w:val="right"/>
            </w:pPr>
            <w:r>
              <w:rPr>
                <w:rFonts w:ascii="Calibri" w:hAnsi="Calibri"/>
                <w:color w:val="404040"/>
                <w:sz w:val="19"/>
              </w:rPr>
              <w:t>Fiscal year (2021–2025)</w:t>
            </w:r>
          </w:p>
        </w:tc>
        <w:tc>
          <w:tcPr>
            <w:tcW w:w="2160" w:type="dxa"/>
            <w:shd w:val="clear" w:color="auto" w:fill="EBF1F9"/>
            <w:vAlign w:val="center"/>
          </w:tcPr>
          <w:p w14:paraId="4D72966D" w14:textId="77777777" w:rsidR="008F20FF" w:rsidRDefault="006E3843">
            <w:pPr>
              <w:jc w:val="right"/>
            </w:pPr>
            <w:r>
              <w:rPr>
                <w:rFonts w:ascii="Calibri" w:hAnsi="Calibri"/>
                <w:color w:val="404040"/>
                <w:sz w:val="19"/>
              </w:rPr>
              <w:t>2023</w:t>
            </w:r>
          </w:p>
        </w:tc>
      </w:tr>
      <w:tr w:rsidR="008F20FF" w14:paraId="6EDDFA5B" w14:textId="77777777">
        <w:trPr>
          <w:jc w:val="center"/>
        </w:trPr>
        <w:tc>
          <w:tcPr>
            <w:tcW w:w="2592" w:type="dxa"/>
            <w:vAlign w:val="center"/>
          </w:tcPr>
          <w:p w14:paraId="1A1FC21B" w14:textId="77777777" w:rsidR="008F20FF" w:rsidRDefault="006E3843">
            <w:r>
              <w:rPr>
                <w:rFonts w:ascii="Calibri" w:hAnsi="Calibri"/>
                <w:color w:val="404040"/>
                <w:sz w:val="19"/>
              </w:rPr>
              <w:t>Fiscal Month</w:t>
            </w:r>
          </w:p>
        </w:tc>
        <w:tc>
          <w:tcPr>
            <w:tcW w:w="1008" w:type="dxa"/>
            <w:vAlign w:val="center"/>
          </w:tcPr>
          <w:p w14:paraId="4F664246" w14:textId="77777777" w:rsidR="008F20FF" w:rsidRDefault="006E3843">
            <w:pPr>
              <w:jc w:val="right"/>
            </w:pPr>
            <w:r>
              <w:rPr>
                <w:rFonts w:ascii="Calibri" w:hAnsi="Calibri"/>
                <w:color w:val="404040"/>
                <w:sz w:val="19"/>
              </w:rPr>
              <w:t>String</w:t>
            </w:r>
          </w:p>
        </w:tc>
        <w:tc>
          <w:tcPr>
            <w:tcW w:w="3600" w:type="dxa"/>
            <w:vAlign w:val="center"/>
          </w:tcPr>
          <w:p w14:paraId="210967AD" w14:textId="77777777" w:rsidR="008F20FF" w:rsidRDefault="006E3843">
            <w:pPr>
              <w:jc w:val="right"/>
            </w:pPr>
            <w:r>
              <w:rPr>
                <w:rFonts w:ascii="Calibri" w:hAnsi="Calibri"/>
                <w:color w:val="404040"/>
                <w:sz w:val="19"/>
              </w:rPr>
              <w:t>YYYY-MM period label</w:t>
            </w:r>
          </w:p>
        </w:tc>
        <w:tc>
          <w:tcPr>
            <w:tcW w:w="2160" w:type="dxa"/>
            <w:vAlign w:val="center"/>
          </w:tcPr>
          <w:p w14:paraId="00DB0F13" w14:textId="77777777" w:rsidR="008F20FF" w:rsidRDefault="006E3843">
            <w:pPr>
              <w:jc w:val="right"/>
            </w:pPr>
            <w:r>
              <w:rPr>
                <w:rFonts w:ascii="Calibri" w:hAnsi="Calibri"/>
                <w:color w:val="404040"/>
                <w:sz w:val="19"/>
              </w:rPr>
              <w:t>2023-07</w:t>
            </w:r>
          </w:p>
        </w:tc>
      </w:tr>
      <w:tr w:rsidR="008F20FF" w14:paraId="49CBAA81" w14:textId="77777777">
        <w:trPr>
          <w:jc w:val="center"/>
        </w:trPr>
        <w:tc>
          <w:tcPr>
            <w:tcW w:w="2592" w:type="dxa"/>
            <w:shd w:val="clear" w:color="auto" w:fill="EBF1F9"/>
            <w:vAlign w:val="center"/>
          </w:tcPr>
          <w:p w14:paraId="54DA6693" w14:textId="77777777" w:rsidR="008F20FF" w:rsidRDefault="006E3843">
            <w:r>
              <w:rPr>
                <w:rFonts w:ascii="Calibri" w:hAnsi="Calibri"/>
                <w:color w:val="404040"/>
                <w:sz w:val="19"/>
              </w:rPr>
              <w:t>Business Unit</w:t>
            </w:r>
          </w:p>
        </w:tc>
        <w:tc>
          <w:tcPr>
            <w:tcW w:w="1008" w:type="dxa"/>
            <w:shd w:val="clear" w:color="auto" w:fill="EBF1F9"/>
            <w:vAlign w:val="center"/>
          </w:tcPr>
          <w:p w14:paraId="599E01F9" w14:textId="77777777" w:rsidR="008F20FF" w:rsidRDefault="006E3843">
            <w:pPr>
              <w:jc w:val="right"/>
            </w:pPr>
            <w:r>
              <w:rPr>
                <w:rFonts w:ascii="Calibri" w:hAnsi="Calibri"/>
                <w:color w:val="404040"/>
                <w:sz w:val="19"/>
              </w:rPr>
              <w:t>String</w:t>
            </w:r>
          </w:p>
        </w:tc>
        <w:tc>
          <w:tcPr>
            <w:tcW w:w="3600" w:type="dxa"/>
            <w:shd w:val="clear" w:color="auto" w:fill="EBF1F9"/>
            <w:vAlign w:val="center"/>
          </w:tcPr>
          <w:p w14:paraId="1DBE8EDE" w14:textId="77777777" w:rsidR="008F20FF" w:rsidRDefault="006E3843">
            <w:pPr>
              <w:jc w:val="right"/>
            </w:pPr>
            <w:r>
              <w:rPr>
                <w:rFonts w:ascii="Calibri" w:hAnsi="Calibri"/>
                <w:color w:val="404040"/>
                <w:sz w:val="19"/>
              </w:rPr>
              <w:t>One of 5 BUs</w:t>
            </w:r>
          </w:p>
        </w:tc>
        <w:tc>
          <w:tcPr>
            <w:tcW w:w="2160" w:type="dxa"/>
            <w:shd w:val="clear" w:color="auto" w:fill="EBF1F9"/>
            <w:vAlign w:val="center"/>
          </w:tcPr>
          <w:p w14:paraId="327B9338" w14:textId="77777777" w:rsidR="008F20FF" w:rsidRDefault="006E3843">
            <w:pPr>
              <w:jc w:val="right"/>
            </w:pPr>
            <w:r>
              <w:rPr>
                <w:rFonts w:ascii="Calibri" w:hAnsi="Calibri"/>
                <w:color w:val="404040"/>
                <w:sz w:val="19"/>
              </w:rPr>
              <w:t>Digital Platforms</w:t>
            </w:r>
          </w:p>
        </w:tc>
      </w:tr>
      <w:tr w:rsidR="008F20FF" w14:paraId="0580F3E1" w14:textId="77777777">
        <w:trPr>
          <w:jc w:val="center"/>
        </w:trPr>
        <w:tc>
          <w:tcPr>
            <w:tcW w:w="2592" w:type="dxa"/>
            <w:vAlign w:val="center"/>
          </w:tcPr>
          <w:p w14:paraId="2558E491" w14:textId="77777777" w:rsidR="008F20FF" w:rsidRDefault="006E3843">
            <w:r>
              <w:rPr>
                <w:rFonts w:ascii="Calibri" w:hAnsi="Calibri"/>
                <w:color w:val="404040"/>
                <w:sz w:val="19"/>
              </w:rPr>
              <w:t>Business Unit Owner</w:t>
            </w:r>
          </w:p>
        </w:tc>
        <w:tc>
          <w:tcPr>
            <w:tcW w:w="1008" w:type="dxa"/>
            <w:vAlign w:val="center"/>
          </w:tcPr>
          <w:p w14:paraId="5E455003" w14:textId="77777777" w:rsidR="008F20FF" w:rsidRDefault="006E3843">
            <w:pPr>
              <w:jc w:val="right"/>
            </w:pPr>
            <w:r>
              <w:rPr>
                <w:rFonts w:ascii="Calibri" w:hAnsi="Calibri"/>
                <w:color w:val="404040"/>
                <w:sz w:val="19"/>
              </w:rPr>
              <w:t>String</w:t>
            </w:r>
          </w:p>
        </w:tc>
        <w:tc>
          <w:tcPr>
            <w:tcW w:w="3600" w:type="dxa"/>
            <w:vAlign w:val="center"/>
          </w:tcPr>
          <w:p w14:paraId="241B6BEB" w14:textId="77777777" w:rsidR="008F20FF" w:rsidRDefault="006E3843">
            <w:pPr>
              <w:jc w:val="right"/>
            </w:pPr>
            <w:r>
              <w:rPr>
                <w:rFonts w:ascii="Calibri" w:hAnsi="Calibri"/>
                <w:color w:val="404040"/>
                <w:sz w:val="19"/>
              </w:rPr>
              <w:t>Named executive</w:t>
            </w:r>
          </w:p>
        </w:tc>
        <w:tc>
          <w:tcPr>
            <w:tcW w:w="2160" w:type="dxa"/>
            <w:vAlign w:val="center"/>
          </w:tcPr>
          <w:p w14:paraId="4B07CE44" w14:textId="77777777" w:rsidR="008F20FF" w:rsidRDefault="006E3843">
            <w:pPr>
              <w:jc w:val="right"/>
            </w:pPr>
            <w:r>
              <w:rPr>
                <w:rFonts w:ascii="Calibri" w:hAnsi="Calibri"/>
                <w:color w:val="404040"/>
                <w:sz w:val="19"/>
              </w:rPr>
              <w:t>Andre Holloway</w:t>
            </w:r>
          </w:p>
        </w:tc>
      </w:tr>
      <w:tr w:rsidR="008F20FF" w14:paraId="7B1B578C" w14:textId="77777777">
        <w:trPr>
          <w:jc w:val="center"/>
        </w:trPr>
        <w:tc>
          <w:tcPr>
            <w:tcW w:w="2592" w:type="dxa"/>
            <w:shd w:val="clear" w:color="auto" w:fill="EBF1F9"/>
            <w:vAlign w:val="center"/>
          </w:tcPr>
          <w:p w14:paraId="3F18A4CD" w14:textId="77777777" w:rsidR="008F20FF" w:rsidRDefault="006E3843">
            <w:r>
              <w:rPr>
                <w:rFonts w:ascii="Calibri" w:hAnsi="Calibri"/>
                <w:color w:val="404040"/>
                <w:sz w:val="19"/>
              </w:rPr>
              <w:t>Business Unit Title</w:t>
            </w:r>
          </w:p>
        </w:tc>
        <w:tc>
          <w:tcPr>
            <w:tcW w:w="1008" w:type="dxa"/>
            <w:shd w:val="clear" w:color="auto" w:fill="EBF1F9"/>
            <w:vAlign w:val="center"/>
          </w:tcPr>
          <w:p w14:paraId="2F7730CE" w14:textId="77777777" w:rsidR="008F20FF" w:rsidRDefault="006E3843">
            <w:pPr>
              <w:jc w:val="right"/>
            </w:pPr>
            <w:r>
              <w:rPr>
                <w:rFonts w:ascii="Calibri" w:hAnsi="Calibri"/>
                <w:color w:val="404040"/>
                <w:sz w:val="19"/>
              </w:rPr>
              <w:t>String</w:t>
            </w:r>
          </w:p>
        </w:tc>
        <w:tc>
          <w:tcPr>
            <w:tcW w:w="3600" w:type="dxa"/>
            <w:shd w:val="clear" w:color="auto" w:fill="EBF1F9"/>
            <w:vAlign w:val="center"/>
          </w:tcPr>
          <w:p w14:paraId="0A980AA2" w14:textId="77777777" w:rsidR="008F20FF" w:rsidRDefault="006E3843">
            <w:pPr>
              <w:jc w:val="right"/>
            </w:pPr>
            <w:r>
              <w:rPr>
                <w:rFonts w:ascii="Calibri" w:hAnsi="Calibri"/>
                <w:color w:val="404040"/>
                <w:sz w:val="19"/>
              </w:rPr>
              <w:t>Executive title</w:t>
            </w:r>
          </w:p>
        </w:tc>
        <w:tc>
          <w:tcPr>
            <w:tcW w:w="2160" w:type="dxa"/>
            <w:shd w:val="clear" w:color="auto" w:fill="EBF1F9"/>
            <w:vAlign w:val="center"/>
          </w:tcPr>
          <w:p w14:paraId="05DC9A62" w14:textId="77777777" w:rsidR="008F20FF" w:rsidRDefault="006E3843">
            <w:pPr>
              <w:jc w:val="right"/>
            </w:pPr>
            <w:r>
              <w:rPr>
                <w:rFonts w:ascii="Calibri" w:hAnsi="Calibri"/>
                <w:color w:val="404040"/>
                <w:sz w:val="19"/>
              </w:rPr>
              <w:t>Chief Digital Officer</w:t>
            </w:r>
          </w:p>
        </w:tc>
      </w:tr>
      <w:tr w:rsidR="008F20FF" w14:paraId="283758A3" w14:textId="77777777">
        <w:trPr>
          <w:jc w:val="center"/>
        </w:trPr>
        <w:tc>
          <w:tcPr>
            <w:tcW w:w="2592" w:type="dxa"/>
            <w:vAlign w:val="center"/>
          </w:tcPr>
          <w:p w14:paraId="62FA8DAB" w14:textId="77777777" w:rsidR="008F20FF" w:rsidRDefault="006E3843">
            <w:r>
              <w:rPr>
                <w:rFonts w:ascii="Calibri" w:hAnsi="Calibri"/>
                <w:color w:val="404040"/>
                <w:sz w:val="19"/>
              </w:rPr>
              <w:t>Cost Center</w:t>
            </w:r>
          </w:p>
        </w:tc>
        <w:tc>
          <w:tcPr>
            <w:tcW w:w="1008" w:type="dxa"/>
            <w:vAlign w:val="center"/>
          </w:tcPr>
          <w:p w14:paraId="4119C40B" w14:textId="77777777" w:rsidR="008F20FF" w:rsidRDefault="006E3843">
            <w:pPr>
              <w:jc w:val="right"/>
            </w:pPr>
            <w:r>
              <w:rPr>
                <w:rFonts w:ascii="Calibri" w:hAnsi="Calibri"/>
                <w:color w:val="404040"/>
                <w:sz w:val="19"/>
              </w:rPr>
              <w:t>Integer</w:t>
            </w:r>
          </w:p>
        </w:tc>
        <w:tc>
          <w:tcPr>
            <w:tcW w:w="3600" w:type="dxa"/>
            <w:vAlign w:val="center"/>
          </w:tcPr>
          <w:p w14:paraId="1482BB8E" w14:textId="77777777" w:rsidR="008F20FF" w:rsidRDefault="006E3843">
            <w:pPr>
              <w:jc w:val="right"/>
            </w:pPr>
            <w:r>
              <w:rPr>
                <w:rFonts w:ascii="Calibri" w:hAnsi="Calibri"/>
                <w:color w:val="404040"/>
                <w:sz w:val="19"/>
              </w:rPr>
              <w:t>CC ID number</w:t>
            </w:r>
          </w:p>
        </w:tc>
        <w:tc>
          <w:tcPr>
            <w:tcW w:w="2160" w:type="dxa"/>
            <w:vAlign w:val="center"/>
          </w:tcPr>
          <w:p w14:paraId="7661FD17" w14:textId="77777777" w:rsidR="008F20FF" w:rsidRDefault="006E3843">
            <w:pPr>
              <w:jc w:val="right"/>
            </w:pPr>
            <w:r>
              <w:rPr>
                <w:rFonts w:ascii="Calibri" w:hAnsi="Calibri"/>
                <w:color w:val="404040"/>
                <w:sz w:val="19"/>
              </w:rPr>
              <w:t>204011</w:t>
            </w:r>
          </w:p>
        </w:tc>
      </w:tr>
      <w:tr w:rsidR="008F20FF" w14:paraId="1F035ED3" w14:textId="77777777">
        <w:trPr>
          <w:jc w:val="center"/>
        </w:trPr>
        <w:tc>
          <w:tcPr>
            <w:tcW w:w="2592" w:type="dxa"/>
            <w:shd w:val="clear" w:color="auto" w:fill="EBF1F9"/>
            <w:vAlign w:val="center"/>
          </w:tcPr>
          <w:p w14:paraId="6E5033AA" w14:textId="77777777" w:rsidR="008F20FF" w:rsidRDefault="006E3843">
            <w:r>
              <w:rPr>
                <w:rFonts w:ascii="Calibri" w:hAnsi="Calibri"/>
                <w:color w:val="404040"/>
                <w:sz w:val="19"/>
              </w:rPr>
              <w:t>Cost Center Name</w:t>
            </w:r>
          </w:p>
        </w:tc>
        <w:tc>
          <w:tcPr>
            <w:tcW w:w="1008" w:type="dxa"/>
            <w:shd w:val="clear" w:color="auto" w:fill="EBF1F9"/>
            <w:vAlign w:val="center"/>
          </w:tcPr>
          <w:p w14:paraId="15DAE16B" w14:textId="77777777" w:rsidR="008F20FF" w:rsidRDefault="006E3843">
            <w:pPr>
              <w:jc w:val="right"/>
            </w:pPr>
            <w:r>
              <w:rPr>
                <w:rFonts w:ascii="Calibri" w:hAnsi="Calibri"/>
                <w:color w:val="404040"/>
                <w:sz w:val="19"/>
              </w:rPr>
              <w:t>String</w:t>
            </w:r>
          </w:p>
        </w:tc>
        <w:tc>
          <w:tcPr>
            <w:tcW w:w="3600" w:type="dxa"/>
            <w:shd w:val="clear" w:color="auto" w:fill="EBF1F9"/>
            <w:vAlign w:val="center"/>
          </w:tcPr>
          <w:p w14:paraId="090685A4" w14:textId="77777777" w:rsidR="008F20FF" w:rsidRDefault="006E3843">
            <w:pPr>
              <w:jc w:val="right"/>
            </w:pPr>
            <w:r>
              <w:rPr>
                <w:rFonts w:ascii="Calibri" w:hAnsi="Calibri"/>
                <w:color w:val="404040"/>
                <w:sz w:val="19"/>
              </w:rPr>
              <w:t>CC descriptive name</w:t>
            </w:r>
          </w:p>
        </w:tc>
        <w:tc>
          <w:tcPr>
            <w:tcW w:w="2160" w:type="dxa"/>
            <w:shd w:val="clear" w:color="auto" w:fill="EBF1F9"/>
            <w:vAlign w:val="center"/>
          </w:tcPr>
          <w:p w14:paraId="5A4187CB" w14:textId="77777777" w:rsidR="008F20FF" w:rsidRDefault="006E3843">
            <w:pPr>
              <w:jc w:val="right"/>
            </w:pPr>
            <w:r>
              <w:rPr>
                <w:rFonts w:ascii="Calibri" w:hAnsi="Calibri"/>
                <w:color w:val="404040"/>
                <w:sz w:val="19"/>
              </w:rPr>
              <w:t>Customer Experience Platforms</w:t>
            </w:r>
          </w:p>
        </w:tc>
      </w:tr>
      <w:tr w:rsidR="008F20FF" w14:paraId="1A75602C" w14:textId="77777777">
        <w:trPr>
          <w:jc w:val="center"/>
        </w:trPr>
        <w:tc>
          <w:tcPr>
            <w:tcW w:w="2592" w:type="dxa"/>
            <w:vAlign w:val="center"/>
          </w:tcPr>
          <w:p w14:paraId="5F598397" w14:textId="77777777" w:rsidR="008F20FF" w:rsidRDefault="006E3843">
            <w:r>
              <w:rPr>
                <w:rFonts w:ascii="Calibri" w:hAnsi="Calibri"/>
                <w:color w:val="404040"/>
                <w:sz w:val="19"/>
              </w:rPr>
              <w:t>Cost Center Owner</w:t>
            </w:r>
          </w:p>
        </w:tc>
        <w:tc>
          <w:tcPr>
            <w:tcW w:w="1008" w:type="dxa"/>
            <w:vAlign w:val="center"/>
          </w:tcPr>
          <w:p w14:paraId="081A27E1" w14:textId="77777777" w:rsidR="008F20FF" w:rsidRDefault="006E3843">
            <w:pPr>
              <w:jc w:val="right"/>
            </w:pPr>
            <w:r>
              <w:rPr>
                <w:rFonts w:ascii="Calibri" w:hAnsi="Calibri"/>
                <w:color w:val="404040"/>
                <w:sz w:val="19"/>
              </w:rPr>
              <w:t>String</w:t>
            </w:r>
          </w:p>
        </w:tc>
        <w:tc>
          <w:tcPr>
            <w:tcW w:w="3600" w:type="dxa"/>
            <w:vAlign w:val="center"/>
          </w:tcPr>
          <w:p w14:paraId="6E78850E" w14:textId="77777777" w:rsidR="008F20FF" w:rsidRDefault="006E3843">
            <w:pPr>
              <w:jc w:val="right"/>
            </w:pPr>
            <w:r>
              <w:rPr>
                <w:rFonts w:ascii="Calibri" w:hAnsi="Calibri"/>
                <w:color w:val="404040"/>
                <w:sz w:val="19"/>
              </w:rPr>
              <w:t>Named manager</w:t>
            </w:r>
          </w:p>
        </w:tc>
        <w:tc>
          <w:tcPr>
            <w:tcW w:w="2160" w:type="dxa"/>
            <w:vAlign w:val="center"/>
          </w:tcPr>
          <w:p w14:paraId="20954B45" w14:textId="77777777" w:rsidR="008F20FF" w:rsidRDefault="006E3843">
            <w:pPr>
              <w:jc w:val="right"/>
            </w:pPr>
            <w:r>
              <w:rPr>
                <w:rFonts w:ascii="Calibri" w:hAnsi="Calibri"/>
                <w:color w:val="404040"/>
                <w:sz w:val="19"/>
              </w:rPr>
              <w:t>[Manager Name]</w:t>
            </w:r>
          </w:p>
        </w:tc>
      </w:tr>
      <w:tr w:rsidR="008F20FF" w14:paraId="2E100C70" w14:textId="77777777">
        <w:trPr>
          <w:jc w:val="center"/>
        </w:trPr>
        <w:tc>
          <w:tcPr>
            <w:tcW w:w="2592" w:type="dxa"/>
            <w:shd w:val="clear" w:color="auto" w:fill="EBF1F9"/>
            <w:vAlign w:val="center"/>
          </w:tcPr>
          <w:p w14:paraId="23F7441D" w14:textId="77777777" w:rsidR="008F20FF" w:rsidRDefault="006E3843">
            <w:r>
              <w:rPr>
                <w:rFonts w:ascii="Calibri" w:hAnsi="Calibri"/>
                <w:color w:val="404040"/>
                <w:sz w:val="19"/>
              </w:rPr>
              <w:t>Owner Title</w:t>
            </w:r>
          </w:p>
        </w:tc>
        <w:tc>
          <w:tcPr>
            <w:tcW w:w="1008" w:type="dxa"/>
            <w:shd w:val="clear" w:color="auto" w:fill="EBF1F9"/>
            <w:vAlign w:val="center"/>
          </w:tcPr>
          <w:p w14:paraId="5FFCD4FD" w14:textId="77777777" w:rsidR="008F20FF" w:rsidRDefault="006E3843">
            <w:pPr>
              <w:jc w:val="right"/>
            </w:pPr>
            <w:r>
              <w:rPr>
                <w:rFonts w:ascii="Calibri" w:hAnsi="Calibri"/>
                <w:color w:val="404040"/>
                <w:sz w:val="19"/>
              </w:rPr>
              <w:t>String</w:t>
            </w:r>
          </w:p>
        </w:tc>
        <w:tc>
          <w:tcPr>
            <w:tcW w:w="3600" w:type="dxa"/>
            <w:shd w:val="clear" w:color="auto" w:fill="EBF1F9"/>
            <w:vAlign w:val="center"/>
          </w:tcPr>
          <w:p w14:paraId="0183E08E" w14:textId="77777777" w:rsidR="008F20FF" w:rsidRDefault="006E3843">
            <w:pPr>
              <w:jc w:val="right"/>
            </w:pPr>
            <w:r>
              <w:rPr>
                <w:rFonts w:ascii="Calibri" w:hAnsi="Calibri"/>
                <w:color w:val="404040"/>
                <w:sz w:val="19"/>
              </w:rPr>
              <w:t>Manager's title</w:t>
            </w:r>
          </w:p>
        </w:tc>
        <w:tc>
          <w:tcPr>
            <w:tcW w:w="2160" w:type="dxa"/>
            <w:shd w:val="clear" w:color="auto" w:fill="EBF1F9"/>
            <w:vAlign w:val="center"/>
          </w:tcPr>
          <w:p w14:paraId="3B4A579E" w14:textId="77777777" w:rsidR="008F20FF" w:rsidRDefault="006E3843">
            <w:pPr>
              <w:jc w:val="right"/>
            </w:pPr>
            <w:r>
              <w:rPr>
                <w:rFonts w:ascii="Calibri" w:hAnsi="Calibri"/>
                <w:color w:val="404040"/>
                <w:sz w:val="19"/>
              </w:rPr>
              <w:t>Director, CX Engineering</w:t>
            </w:r>
          </w:p>
        </w:tc>
      </w:tr>
      <w:tr w:rsidR="008F20FF" w14:paraId="47C91D29" w14:textId="77777777">
        <w:trPr>
          <w:jc w:val="center"/>
        </w:trPr>
        <w:tc>
          <w:tcPr>
            <w:tcW w:w="2592" w:type="dxa"/>
            <w:vAlign w:val="center"/>
          </w:tcPr>
          <w:p w14:paraId="38B9E0EE" w14:textId="77777777" w:rsidR="008F20FF" w:rsidRDefault="006E3843">
            <w:r>
              <w:rPr>
                <w:rFonts w:ascii="Calibri" w:hAnsi="Calibri"/>
                <w:color w:val="404040"/>
                <w:sz w:val="19"/>
              </w:rPr>
              <w:t>CIO</w:t>
            </w:r>
          </w:p>
        </w:tc>
        <w:tc>
          <w:tcPr>
            <w:tcW w:w="1008" w:type="dxa"/>
            <w:vAlign w:val="center"/>
          </w:tcPr>
          <w:p w14:paraId="4DF6E5CC" w14:textId="77777777" w:rsidR="008F20FF" w:rsidRDefault="006E3843">
            <w:pPr>
              <w:jc w:val="right"/>
            </w:pPr>
            <w:r>
              <w:rPr>
                <w:rFonts w:ascii="Calibri" w:hAnsi="Calibri"/>
                <w:color w:val="404040"/>
                <w:sz w:val="19"/>
              </w:rPr>
              <w:t>String</w:t>
            </w:r>
          </w:p>
        </w:tc>
        <w:tc>
          <w:tcPr>
            <w:tcW w:w="3600" w:type="dxa"/>
            <w:vAlign w:val="center"/>
          </w:tcPr>
          <w:p w14:paraId="13DAAD10" w14:textId="77777777" w:rsidR="008F20FF" w:rsidRDefault="006E3843">
            <w:pPr>
              <w:jc w:val="right"/>
            </w:pPr>
            <w:r>
              <w:rPr>
                <w:rFonts w:ascii="Calibri" w:hAnsi="Calibri"/>
                <w:color w:val="404040"/>
                <w:sz w:val="19"/>
              </w:rPr>
              <w:t>CIO name (constant)</w:t>
            </w:r>
          </w:p>
        </w:tc>
        <w:tc>
          <w:tcPr>
            <w:tcW w:w="2160" w:type="dxa"/>
            <w:vAlign w:val="center"/>
          </w:tcPr>
          <w:p w14:paraId="472DEC25" w14:textId="77777777" w:rsidR="008F20FF" w:rsidRDefault="006E3843">
            <w:pPr>
              <w:jc w:val="right"/>
            </w:pPr>
            <w:r>
              <w:rPr>
                <w:rFonts w:ascii="Calibri" w:hAnsi="Calibri"/>
                <w:color w:val="404040"/>
                <w:sz w:val="19"/>
              </w:rPr>
              <w:t>Marcus Ellison</w:t>
            </w:r>
          </w:p>
        </w:tc>
      </w:tr>
      <w:tr w:rsidR="008F20FF" w14:paraId="5FF844CE" w14:textId="77777777">
        <w:trPr>
          <w:jc w:val="center"/>
        </w:trPr>
        <w:tc>
          <w:tcPr>
            <w:tcW w:w="2592" w:type="dxa"/>
            <w:shd w:val="clear" w:color="auto" w:fill="EBF1F9"/>
            <w:vAlign w:val="center"/>
          </w:tcPr>
          <w:p w14:paraId="09707FF2" w14:textId="77777777" w:rsidR="008F20FF" w:rsidRDefault="006E3843">
            <w:r>
              <w:rPr>
                <w:rFonts w:ascii="Calibri" w:hAnsi="Calibri"/>
                <w:color w:val="404040"/>
                <w:sz w:val="19"/>
              </w:rPr>
              <w:t>GL Account</w:t>
            </w:r>
          </w:p>
        </w:tc>
        <w:tc>
          <w:tcPr>
            <w:tcW w:w="1008" w:type="dxa"/>
            <w:shd w:val="clear" w:color="auto" w:fill="EBF1F9"/>
            <w:vAlign w:val="center"/>
          </w:tcPr>
          <w:p w14:paraId="3BE9166B" w14:textId="77777777" w:rsidR="008F20FF" w:rsidRDefault="006E3843">
            <w:pPr>
              <w:jc w:val="right"/>
            </w:pPr>
            <w:r>
              <w:rPr>
                <w:rFonts w:ascii="Calibri" w:hAnsi="Calibri"/>
                <w:color w:val="404040"/>
                <w:sz w:val="19"/>
              </w:rPr>
              <w:t>Integer</w:t>
            </w:r>
          </w:p>
        </w:tc>
        <w:tc>
          <w:tcPr>
            <w:tcW w:w="3600" w:type="dxa"/>
            <w:shd w:val="clear" w:color="auto" w:fill="EBF1F9"/>
            <w:vAlign w:val="center"/>
          </w:tcPr>
          <w:p w14:paraId="780DE6DA" w14:textId="77777777" w:rsidR="008F20FF" w:rsidRDefault="006E3843">
            <w:pPr>
              <w:jc w:val="right"/>
            </w:pPr>
            <w:r>
              <w:rPr>
                <w:rFonts w:ascii="Calibri" w:hAnsi="Calibri"/>
                <w:color w:val="404040"/>
                <w:sz w:val="19"/>
              </w:rPr>
              <w:t>GL code (612100–612800)</w:t>
            </w:r>
          </w:p>
        </w:tc>
        <w:tc>
          <w:tcPr>
            <w:tcW w:w="2160" w:type="dxa"/>
            <w:shd w:val="clear" w:color="auto" w:fill="EBF1F9"/>
            <w:vAlign w:val="center"/>
          </w:tcPr>
          <w:p w14:paraId="485E2D2F" w14:textId="77777777" w:rsidR="008F20FF" w:rsidRDefault="006E3843">
            <w:pPr>
              <w:jc w:val="right"/>
            </w:pPr>
            <w:r>
              <w:rPr>
                <w:rFonts w:ascii="Calibri" w:hAnsi="Calibri"/>
                <w:color w:val="404040"/>
                <w:sz w:val="19"/>
              </w:rPr>
              <w:t>612100</w:t>
            </w:r>
          </w:p>
        </w:tc>
      </w:tr>
      <w:tr w:rsidR="008F20FF" w14:paraId="07712A09" w14:textId="77777777">
        <w:trPr>
          <w:jc w:val="center"/>
        </w:trPr>
        <w:tc>
          <w:tcPr>
            <w:tcW w:w="2592" w:type="dxa"/>
            <w:vAlign w:val="center"/>
          </w:tcPr>
          <w:p w14:paraId="52747FC8" w14:textId="77777777" w:rsidR="008F20FF" w:rsidRDefault="006E3843">
            <w:r>
              <w:rPr>
                <w:rFonts w:ascii="Calibri" w:hAnsi="Calibri"/>
                <w:color w:val="404040"/>
                <w:sz w:val="19"/>
              </w:rPr>
              <w:t>GL Description</w:t>
            </w:r>
          </w:p>
        </w:tc>
        <w:tc>
          <w:tcPr>
            <w:tcW w:w="1008" w:type="dxa"/>
            <w:vAlign w:val="center"/>
          </w:tcPr>
          <w:p w14:paraId="5A56F98A" w14:textId="77777777" w:rsidR="008F20FF" w:rsidRDefault="006E3843">
            <w:pPr>
              <w:jc w:val="right"/>
            </w:pPr>
            <w:r>
              <w:rPr>
                <w:rFonts w:ascii="Calibri" w:hAnsi="Calibri"/>
                <w:color w:val="404040"/>
                <w:sz w:val="19"/>
              </w:rPr>
              <w:t>String</w:t>
            </w:r>
          </w:p>
        </w:tc>
        <w:tc>
          <w:tcPr>
            <w:tcW w:w="3600" w:type="dxa"/>
            <w:vAlign w:val="center"/>
          </w:tcPr>
          <w:p w14:paraId="55B013D3" w14:textId="77777777" w:rsidR="008F20FF" w:rsidRDefault="006E3843">
            <w:pPr>
              <w:jc w:val="right"/>
            </w:pPr>
            <w:r>
              <w:rPr>
                <w:rFonts w:ascii="Calibri" w:hAnsi="Calibri"/>
                <w:color w:val="404040"/>
                <w:sz w:val="19"/>
              </w:rPr>
              <w:t>GL label</w:t>
            </w:r>
          </w:p>
        </w:tc>
        <w:tc>
          <w:tcPr>
            <w:tcW w:w="2160" w:type="dxa"/>
            <w:vAlign w:val="center"/>
          </w:tcPr>
          <w:p w14:paraId="5EF566AF" w14:textId="77777777" w:rsidR="008F20FF" w:rsidRDefault="006E3843">
            <w:pPr>
              <w:jc w:val="right"/>
            </w:pPr>
            <w:r>
              <w:rPr>
                <w:rFonts w:ascii="Calibri" w:hAnsi="Calibri"/>
                <w:color w:val="404040"/>
                <w:sz w:val="19"/>
              </w:rPr>
              <w:t>Cloud Hosting</w:t>
            </w:r>
          </w:p>
        </w:tc>
      </w:tr>
      <w:tr w:rsidR="008F20FF" w14:paraId="7B9DCA60" w14:textId="77777777">
        <w:trPr>
          <w:jc w:val="center"/>
        </w:trPr>
        <w:tc>
          <w:tcPr>
            <w:tcW w:w="2592" w:type="dxa"/>
            <w:shd w:val="clear" w:color="auto" w:fill="EBF1F9"/>
            <w:vAlign w:val="center"/>
          </w:tcPr>
          <w:p w14:paraId="1B66424F" w14:textId="77777777" w:rsidR="008F20FF" w:rsidRDefault="006E3843">
            <w:r>
              <w:rPr>
                <w:rFonts w:ascii="Calibri" w:hAnsi="Calibri"/>
                <w:color w:val="404040"/>
                <w:sz w:val="19"/>
              </w:rPr>
              <w:t>Spend Type</w:t>
            </w:r>
          </w:p>
        </w:tc>
        <w:tc>
          <w:tcPr>
            <w:tcW w:w="1008" w:type="dxa"/>
            <w:shd w:val="clear" w:color="auto" w:fill="EBF1F9"/>
            <w:vAlign w:val="center"/>
          </w:tcPr>
          <w:p w14:paraId="3D0A9C87" w14:textId="77777777" w:rsidR="008F20FF" w:rsidRDefault="006E3843">
            <w:pPr>
              <w:jc w:val="right"/>
            </w:pPr>
            <w:r>
              <w:rPr>
                <w:rFonts w:ascii="Calibri" w:hAnsi="Calibri"/>
                <w:color w:val="404040"/>
                <w:sz w:val="19"/>
              </w:rPr>
              <w:t>String</w:t>
            </w:r>
          </w:p>
        </w:tc>
        <w:tc>
          <w:tcPr>
            <w:tcW w:w="3600" w:type="dxa"/>
            <w:shd w:val="clear" w:color="auto" w:fill="EBF1F9"/>
            <w:vAlign w:val="center"/>
          </w:tcPr>
          <w:p w14:paraId="5B23B9FD" w14:textId="77777777" w:rsidR="008F20FF" w:rsidRDefault="006E3843">
            <w:pPr>
              <w:jc w:val="right"/>
            </w:pPr>
            <w:r>
              <w:rPr>
                <w:rFonts w:ascii="Calibri" w:hAnsi="Calibri"/>
                <w:color w:val="404040"/>
                <w:sz w:val="19"/>
              </w:rPr>
              <w:t>Project/Cloud/Infra/Software</w:t>
            </w:r>
          </w:p>
        </w:tc>
        <w:tc>
          <w:tcPr>
            <w:tcW w:w="2160" w:type="dxa"/>
            <w:shd w:val="clear" w:color="auto" w:fill="EBF1F9"/>
            <w:vAlign w:val="center"/>
          </w:tcPr>
          <w:p w14:paraId="04A2FBAD" w14:textId="77777777" w:rsidR="008F20FF" w:rsidRDefault="006E3843">
            <w:pPr>
              <w:jc w:val="right"/>
            </w:pPr>
            <w:r>
              <w:rPr>
                <w:rFonts w:ascii="Calibri" w:hAnsi="Calibri"/>
                <w:color w:val="404040"/>
                <w:sz w:val="19"/>
              </w:rPr>
              <w:t>Cloud</w:t>
            </w:r>
          </w:p>
        </w:tc>
      </w:tr>
      <w:tr w:rsidR="008F20FF" w14:paraId="7409030F" w14:textId="77777777">
        <w:trPr>
          <w:jc w:val="center"/>
        </w:trPr>
        <w:tc>
          <w:tcPr>
            <w:tcW w:w="2592" w:type="dxa"/>
            <w:vAlign w:val="center"/>
          </w:tcPr>
          <w:p w14:paraId="6F69BD5B" w14:textId="77777777" w:rsidR="008F20FF" w:rsidRDefault="006E3843">
            <w:r>
              <w:rPr>
                <w:rFonts w:ascii="Calibri" w:hAnsi="Calibri"/>
                <w:color w:val="404040"/>
                <w:sz w:val="19"/>
              </w:rPr>
              <w:t>Vendor</w:t>
            </w:r>
          </w:p>
        </w:tc>
        <w:tc>
          <w:tcPr>
            <w:tcW w:w="1008" w:type="dxa"/>
            <w:vAlign w:val="center"/>
          </w:tcPr>
          <w:p w14:paraId="46924F42" w14:textId="77777777" w:rsidR="008F20FF" w:rsidRDefault="006E3843">
            <w:pPr>
              <w:jc w:val="right"/>
            </w:pPr>
            <w:r>
              <w:rPr>
                <w:rFonts w:ascii="Calibri" w:hAnsi="Calibri"/>
                <w:color w:val="404040"/>
                <w:sz w:val="19"/>
              </w:rPr>
              <w:t>String</w:t>
            </w:r>
          </w:p>
        </w:tc>
        <w:tc>
          <w:tcPr>
            <w:tcW w:w="3600" w:type="dxa"/>
            <w:vAlign w:val="center"/>
          </w:tcPr>
          <w:p w14:paraId="75F772E9" w14:textId="77777777" w:rsidR="008F20FF" w:rsidRDefault="006E3843">
            <w:pPr>
              <w:jc w:val="right"/>
            </w:pPr>
            <w:r>
              <w:rPr>
                <w:rFonts w:ascii="Calibri" w:hAnsi="Calibri"/>
                <w:color w:val="404040"/>
                <w:sz w:val="19"/>
              </w:rPr>
              <w:t>Vendor name</w:t>
            </w:r>
          </w:p>
        </w:tc>
        <w:tc>
          <w:tcPr>
            <w:tcW w:w="2160" w:type="dxa"/>
            <w:vAlign w:val="center"/>
          </w:tcPr>
          <w:p w14:paraId="31004FFA" w14:textId="77777777" w:rsidR="008F20FF" w:rsidRDefault="006E3843">
            <w:pPr>
              <w:jc w:val="right"/>
            </w:pPr>
            <w:r>
              <w:rPr>
                <w:rFonts w:ascii="Calibri" w:hAnsi="Calibri"/>
                <w:color w:val="404040"/>
                <w:sz w:val="19"/>
              </w:rPr>
              <w:t>Cisco</w:t>
            </w:r>
          </w:p>
        </w:tc>
      </w:tr>
      <w:tr w:rsidR="008F20FF" w14:paraId="11A8FDB2" w14:textId="77777777">
        <w:trPr>
          <w:jc w:val="center"/>
        </w:trPr>
        <w:tc>
          <w:tcPr>
            <w:tcW w:w="2592" w:type="dxa"/>
            <w:shd w:val="clear" w:color="auto" w:fill="EBF1F9"/>
            <w:vAlign w:val="center"/>
          </w:tcPr>
          <w:p w14:paraId="18C73D1B" w14:textId="77777777" w:rsidR="008F20FF" w:rsidRDefault="006E3843">
            <w:r>
              <w:rPr>
                <w:rFonts w:ascii="Calibri" w:hAnsi="Calibri"/>
                <w:color w:val="404040"/>
                <w:sz w:val="19"/>
              </w:rPr>
              <w:t>PO Number</w:t>
            </w:r>
          </w:p>
        </w:tc>
        <w:tc>
          <w:tcPr>
            <w:tcW w:w="1008" w:type="dxa"/>
            <w:shd w:val="clear" w:color="auto" w:fill="EBF1F9"/>
            <w:vAlign w:val="center"/>
          </w:tcPr>
          <w:p w14:paraId="2E7FE297" w14:textId="77777777" w:rsidR="008F20FF" w:rsidRDefault="006E3843">
            <w:pPr>
              <w:jc w:val="right"/>
            </w:pPr>
            <w:r>
              <w:rPr>
                <w:rFonts w:ascii="Calibri" w:hAnsi="Calibri"/>
                <w:color w:val="404040"/>
                <w:sz w:val="19"/>
              </w:rPr>
              <w:t>Integer</w:t>
            </w:r>
          </w:p>
        </w:tc>
        <w:tc>
          <w:tcPr>
            <w:tcW w:w="3600" w:type="dxa"/>
            <w:shd w:val="clear" w:color="auto" w:fill="EBF1F9"/>
            <w:vAlign w:val="center"/>
          </w:tcPr>
          <w:p w14:paraId="7B249404" w14:textId="77777777" w:rsidR="008F20FF" w:rsidRDefault="006E3843">
            <w:pPr>
              <w:jc w:val="right"/>
            </w:pPr>
            <w:r>
              <w:rPr>
                <w:rFonts w:ascii="Calibri" w:hAnsi="Calibri"/>
                <w:color w:val="404040"/>
                <w:sz w:val="19"/>
              </w:rPr>
              <w:t>Purchase order number</w:t>
            </w:r>
          </w:p>
        </w:tc>
        <w:tc>
          <w:tcPr>
            <w:tcW w:w="2160" w:type="dxa"/>
            <w:shd w:val="clear" w:color="auto" w:fill="EBF1F9"/>
            <w:vAlign w:val="center"/>
          </w:tcPr>
          <w:p w14:paraId="454F6380" w14:textId="77777777" w:rsidR="008F20FF" w:rsidRDefault="006E3843">
            <w:pPr>
              <w:jc w:val="right"/>
            </w:pPr>
            <w:r>
              <w:rPr>
                <w:rFonts w:ascii="Calibri" w:hAnsi="Calibri"/>
                <w:color w:val="404040"/>
                <w:sz w:val="19"/>
              </w:rPr>
              <w:t>452719583</w:t>
            </w:r>
          </w:p>
        </w:tc>
      </w:tr>
      <w:tr w:rsidR="008F20FF" w14:paraId="3DAC7CAE" w14:textId="77777777">
        <w:trPr>
          <w:jc w:val="center"/>
        </w:trPr>
        <w:tc>
          <w:tcPr>
            <w:tcW w:w="2592" w:type="dxa"/>
            <w:vAlign w:val="center"/>
          </w:tcPr>
          <w:p w14:paraId="1B194120" w14:textId="77777777" w:rsidR="008F20FF" w:rsidRDefault="006E3843">
            <w:r>
              <w:rPr>
                <w:rFonts w:ascii="Calibri" w:hAnsi="Calibri"/>
                <w:color w:val="404040"/>
                <w:sz w:val="19"/>
              </w:rPr>
              <w:t>Invoice Number</w:t>
            </w:r>
          </w:p>
        </w:tc>
        <w:tc>
          <w:tcPr>
            <w:tcW w:w="1008" w:type="dxa"/>
            <w:vAlign w:val="center"/>
          </w:tcPr>
          <w:p w14:paraId="32E42997" w14:textId="77777777" w:rsidR="008F20FF" w:rsidRDefault="006E3843">
            <w:pPr>
              <w:jc w:val="right"/>
            </w:pPr>
            <w:r>
              <w:rPr>
                <w:rFonts w:ascii="Calibri" w:hAnsi="Calibri"/>
                <w:color w:val="404040"/>
                <w:sz w:val="19"/>
              </w:rPr>
              <w:t>String</w:t>
            </w:r>
          </w:p>
        </w:tc>
        <w:tc>
          <w:tcPr>
            <w:tcW w:w="3600" w:type="dxa"/>
            <w:vAlign w:val="center"/>
          </w:tcPr>
          <w:p w14:paraId="761C4BD6" w14:textId="77777777" w:rsidR="008F20FF" w:rsidRDefault="006E3843">
            <w:pPr>
              <w:jc w:val="right"/>
            </w:pPr>
            <w:r>
              <w:rPr>
                <w:rFonts w:ascii="Calibri" w:hAnsi="Calibri"/>
                <w:color w:val="404040"/>
                <w:sz w:val="19"/>
              </w:rPr>
              <w:t>Invoice reference</w:t>
            </w:r>
          </w:p>
        </w:tc>
        <w:tc>
          <w:tcPr>
            <w:tcW w:w="2160" w:type="dxa"/>
            <w:vAlign w:val="center"/>
          </w:tcPr>
          <w:p w14:paraId="3696439C" w14:textId="77777777" w:rsidR="008F20FF" w:rsidRDefault="006E3843">
            <w:pPr>
              <w:jc w:val="right"/>
            </w:pPr>
            <w:r>
              <w:rPr>
                <w:rFonts w:ascii="Calibri" w:hAnsi="Calibri"/>
                <w:color w:val="404040"/>
                <w:sz w:val="19"/>
              </w:rPr>
              <w:t>INV-100001</w:t>
            </w:r>
          </w:p>
        </w:tc>
      </w:tr>
      <w:tr w:rsidR="008F20FF" w14:paraId="3BF8374B" w14:textId="77777777">
        <w:trPr>
          <w:jc w:val="center"/>
        </w:trPr>
        <w:tc>
          <w:tcPr>
            <w:tcW w:w="2592" w:type="dxa"/>
            <w:shd w:val="clear" w:color="auto" w:fill="EBF1F9"/>
            <w:vAlign w:val="center"/>
          </w:tcPr>
          <w:p w14:paraId="1D380437" w14:textId="77777777" w:rsidR="008F20FF" w:rsidRDefault="006E3843">
            <w:r>
              <w:rPr>
                <w:rFonts w:ascii="Calibri" w:hAnsi="Calibri"/>
                <w:color w:val="404040"/>
                <w:sz w:val="19"/>
              </w:rPr>
              <w:t>Journal ID</w:t>
            </w:r>
          </w:p>
        </w:tc>
        <w:tc>
          <w:tcPr>
            <w:tcW w:w="1008" w:type="dxa"/>
            <w:shd w:val="clear" w:color="auto" w:fill="EBF1F9"/>
            <w:vAlign w:val="center"/>
          </w:tcPr>
          <w:p w14:paraId="09068621" w14:textId="77777777" w:rsidR="008F20FF" w:rsidRDefault="006E3843">
            <w:pPr>
              <w:jc w:val="right"/>
            </w:pPr>
            <w:r>
              <w:rPr>
                <w:rFonts w:ascii="Calibri" w:hAnsi="Calibri"/>
                <w:color w:val="404040"/>
                <w:sz w:val="19"/>
              </w:rPr>
              <w:t>String</w:t>
            </w:r>
          </w:p>
        </w:tc>
        <w:tc>
          <w:tcPr>
            <w:tcW w:w="3600" w:type="dxa"/>
            <w:shd w:val="clear" w:color="auto" w:fill="EBF1F9"/>
            <w:vAlign w:val="center"/>
          </w:tcPr>
          <w:p w14:paraId="5A5452CA" w14:textId="77777777" w:rsidR="008F20FF" w:rsidRDefault="006E3843">
            <w:pPr>
              <w:jc w:val="right"/>
            </w:pPr>
            <w:r>
              <w:rPr>
                <w:rFonts w:ascii="Calibri" w:hAnsi="Calibri"/>
                <w:color w:val="404040"/>
                <w:sz w:val="19"/>
              </w:rPr>
              <w:t>Journal entry reference</w:t>
            </w:r>
          </w:p>
        </w:tc>
        <w:tc>
          <w:tcPr>
            <w:tcW w:w="2160" w:type="dxa"/>
            <w:shd w:val="clear" w:color="auto" w:fill="EBF1F9"/>
            <w:vAlign w:val="center"/>
          </w:tcPr>
          <w:p w14:paraId="6FF8EF10" w14:textId="77777777" w:rsidR="008F20FF" w:rsidRDefault="006E3843">
            <w:pPr>
              <w:jc w:val="right"/>
            </w:pPr>
            <w:r>
              <w:rPr>
                <w:rFonts w:ascii="Calibri" w:hAnsi="Calibri"/>
                <w:color w:val="404040"/>
                <w:sz w:val="19"/>
              </w:rPr>
              <w:t>JRNL-854785</w:t>
            </w:r>
          </w:p>
        </w:tc>
      </w:tr>
      <w:tr w:rsidR="008F20FF" w14:paraId="6F8FAADB" w14:textId="77777777">
        <w:trPr>
          <w:jc w:val="center"/>
        </w:trPr>
        <w:tc>
          <w:tcPr>
            <w:tcW w:w="2592" w:type="dxa"/>
            <w:vAlign w:val="center"/>
          </w:tcPr>
          <w:p w14:paraId="3C6E031A" w14:textId="77777777" w:rsidR="008F20FF" w:rsidRDefault="006E3843">
            <w:r>
              <w:rPr>
                <w:rFonts w:ascii="Calibri" w:hAnsi="Calibri"/>
                <w:color w:val="404040"/>
                <w:sz w:val="19"/>
              </w:rPr>
              <w:t>Transaction Amount</w:t>
            </w:r>
          </w:p>
        </w:tc>
        <w:tc>
          <w:tcPr>
            <w:tcW w:w="1008" w:type="dxa"/>
            <w:vAlign w:val="center"/>
          </w:tcPr>
          <w:p w14:paraId="6379C187" w14:textId="77777777" w:rsidR="008F20FF" w:rsidRDefault="006E3843">
            <w:pPr>
              <w:jc w:val="right"/>
            </w:pPr>
            <w:r>
              <w:rPr>
                <w:rFonts w:ascii="Calibri" w:hAnsi="Calibri"/>
                <w:color w:val="404040"/>
                <w:sz w:val="19"/>
              </w:rPr>
              <w:t>Decimal</w:t>
            </w:r>
          </w:p>
        </w:tc>
        <w:tc>
          <w:tcPr>
            <w:tcW w:w="3600" w:type="dxa"/>
            <w:vAlign w:val="center"/>
          </w:tcPr>
          <w:p w14:paraId="51024404" w14:textId="77777777" w:rsidR="008F20FF" w:rsidRDefault="006E3843">
            <w:pPr>
              <w:jc w:val="right"/>
            </w:pPr>
            <w:r>
              <w:rPr>
                <w:rFonts w:ascii="Calibri" w:hAnsi="Calibri"/>
                <w:color w:val="404040"/>
                <w:sz w:val="19"/>
              </w:rPr>
              <w:t>Amount in USD</w:t>
            </w:r>
          </w:p>
        </w:tc>
        <w:tc>
          <w:tcPr>
            <w:tcW w:w="2160" w:type="dxa"/>
            <w:vAlign w:val="center"/>
          </w:tcPr>
          <w:p w14:paraId="5EF81D7A" w14:textId="77777777" w:rsidR="008F20FF" w:rsidRDefault="006E3843">
            <w:pPr>
              <w:jc w:val="right"/>
            </w:pPr>
            <w:r>
              <w:rPr>
                <w:rFonts w:ascii="Calibri" w:hAnsi="Calibri"/>
                <w:color w:val="404040"/>
                <w:sz w:val="19"/>
              </w:rPr>
              <w:t>9,705.22</w:t>
            </w:r>
          </w:p>
        </w:tc>
      </w:tr>
    </w:tbl>
    <w:p w14:paraId="759A9615" w14:textId="77777777" w:rsidR="008F20FF" w:rsidRDefault="008F20FF"/>
    <w:p w14:paraId="467C8DA7" w14:textId="77777777" w:rsidR="008F20FF" w:rsidRDefault="006E3843">
      <w:pPr>
        <w:pBdr>
          <w:bottom w:val="single" w:sz="4" w:space="1" w:color="2F5597"/>
        </w:pBdr>
        <w:spacing w:before="200" w:after="60"/>
      </w:pPr>
      <w:r>
        <w:rPr>
          <w:rFonts w:ascii="Calibri" w:hAnsi="Calibri"/>
          <w:b/>
          <w:color w:val="1F3864"/>
        </w:rPr>
        <w:t>3.3  Data Quality Assessment</w:t>
      </w:r>
    </w:p>
    <w:tbl>
      <w:tblPr>
        <w:tblStyle w:val="TableGrid"/>
        <w:tblW w:w="0" w:type="auto"/>
        <w:jc w:val="center"/>
        <w:tblLook w:val="04A0" w:firstRow="1" w:lastRow="0" w:firstColumn="1" w:lastColumn="0" w:noHBand="0" w:noVBand="1"/>
      </w:tblPr>
      <w:tblGrid>
        <w:gridCol w:w="3168"/>
        <w:gridCol w:w="2592"/>
        <w:gridCol w:w="3600"/>
      </w:tblGrid>
      <w:tr w:rsidR="008F20FF" w14:paraId="08740D93" w14:textId="77777777">
        <w:trPr>
          <w:jc w:val="center"/>
        </w:trPr>
        <w:tc>
          <w:tcPr>
            <w:tcW w:w="3168" w:type="dxa"/>
            <w:shd w:val="clear" w:color="auto" w:fill="1F3864"/>
            <w:vAlign w:val="center"/>
          </w:tcPr>
          <w:p w14:paraId="33531A68" w14:textId="77777777" w:rsidR="008F20FF" w:rsidRDefault="006E3843">
            <w:pPr>
              <w:jc w:val="center"/>
            </w:pPr>
            <w:r>
              <w:rPr>
                <w:rFonts w:ascii="Calibri" w:hAnsi="Calibri"/>
                <w:b/>
                <w:color w:val="FFFFFF"/>
                <w:sz w:val="19"/>
              </w:rPr>
              <w:t>Metric</w:t>
            </w:r>
          </w:p>
        </w:tc>
        <w:tc>
          <w:tcPr>
            <w:tcW w:w="2592" w:type="dxa"/>
            <w:shd w:val="clear" w:color="auto" w:fill="1F3864"/>
            <w:vAlign w:val="center"/>
          </w:tcPr>
          <w:p w14:paraId="1628E059" w14:textId="77777777" w:rsidR="008F20FF" w:rsidRDefault="006E3843">
            <w:pPr>
              <w:jc w:val="center"/>
            </w:pPr>
            <w:r>
              <w:rPr>
                <w:rFonts w:ascii="Calibri" w:hAnsi="Calibri"/>
                <w:b/>
                <w:color w:val="FFFFFF"/>
                <w:sz w:val="19"/>
              </w:rPr>
              <w:t>Result</w:t>
            </w:r>
          </w:p>
        </w:tc>
        <w:tc>
          <w:tcPr>
            <w:tcW w:w="3600" w:type="dxa"/>
            <w:shd w:val="clear" w:color="auto" w:fill="1F3864"/>
            <w:vAlign w:val="center"/>
          </w:tcPr>
          <w:p w14:paraId="393384A2" w14:textId="77777777" w:rsidR="008F20FF" w:rsidRDefault="006E3843">
            <w:pPr>
              <w:jc w:val="center"/>
            </w:pPr>
            <w:r>
              <w:rPr>
                <w:rFonts w:ascii="Calibri" w:hAnsi="Calibri"/>
                <w:b/>
                <w:color w:val="FFFFFF"/>
                <w:sz w:val="19"/>
              </w:rPr>
              <w:t>Notes</w:t>
            </w:r>
          </w:p>
        </w:tc>
      </w:tr>
      <w:tr w:rsidR="008F20FF" w14:paraId="4C5C7E26" w14:textId="77777777">
        <w:trPr>
          <w:jc w:val="center"/>
        </w:trPr>
        <w:tc>
          <w:tcPr>
            <w:tcW w:w="3168" w:type="dxa"/>
            <w:vAlign w:val="center"/>
          </w:tcPr>
          <w:p w14:paraId="67398842" w14:textId="77777777" w:rsidR="008F20FF" w:rsidRDefault="006E3843">
            <w:r>
              <w:rPr>
                <w:rFonts w:ascii="Calibri" w:hAnsi="Calibri"/>
                <w:color w:val="404040"/>
                <w:sz w:val="19"/>
              </w:rPr>
              <w:t>Missing values (key fields)</w:t>
            </w:r>
          </w:p>
        </w:tc>
        <w:tc>
          <w:tcPr>
            <w:tcW w:w="2592" w:type="dxa"/>
            <w:vAlign w:val="center"/>
          </w:tcPr>
          <w:p w14:paraId="252D2D3C" w14:textId="77777777" w:rsidR="008F20FF" w:rsidRDefault="006E3843">
            <w:pPr>
              <w:jc w:val="right"/>
            </w:pPr>
            <w:r>
              <w:rPr>
                <w:rFonts w:ascii="Calibri" w:hAnsi="Calibri"/>
                <w:color w:val="404040"/>
                <w:sz w:val="19"/>
              </w:rPr>
              <w:t>Zero</w:t>
            </w:r>
          </w:p>
        </w:tc>
        <w:tc>
          <w:tcPr>
            <w:tcW w:w="3600" w:type="dxa"/>
            <w:vAlign w:val="center"/>
          </w:tcPr>
          <w:p w14:paraId="512D27CB" w14:textId="77777777" w:rsidR="008F20FF" w:rsidRDefault="006E3843">
            <w:pPr>
              <w:jc w:val="right"/>
            </w:pPr>
            <w:r>
              <w:rPr>
                <w:rFonts w:ascii="Calibri" w:hAnsi="Calibri"/>
                <w:color w:val="404040"/>
                <w:sz w:val="19"/>
              </w:rPr>
              <w:t>No nulls in Amount, BU, Vendor, Date</w:t>
            </w:r>
          </w:p>
        </w:tc>
      </w:tr>
      <w:tr w:rsidR="008F20FF" w14:paraId="4690D906" w14:textId="77777777">
        <w:trPr>
          <w:jc w:val="center"/>
        </w:trPr>
        <w:tc>
          <w:tcPr>
            <w:tcW w:w="3168" w:type="dxa"/>
            <w:shd w:val="clear" w:color="auto" w:fill="EBF1F9"/>
            <w:vAlign w:val="center"/>
          </w:tcPr>
          <w:p w14:paraId="136044C2" w14:textId="77777777" w:rsidR="008F20FF" w:rsidRDefault="006E3843">
            <w:r>
              <w:rPr>
                <w:rFonts w:ascii="Calibri" w:hAnsi="Calibri"/>
                <w:color w:val="404040"/>
                <w:sz w:val="19"/>
              </w:rPr>
              <w:t>Date range</w:t>
            </w:r>
          </w:p>
        </w:tc>
        <w:tc>
          <w:tcPr>
            <w:tcW w:w="2592" w:type="dxa"/>
            <w:shd w:val="clear" w:color="auto" w:fill="EBF1F9"/>
            <w:vAlign w:val="center"/>
          </w:tcPr>
          <w:p w14:paraId="6F3A8EDB" w14:textId="77777777" w:rsidR="008F20FF" w:rsidRDefault="006E3843">
            <w:pPr>
              <w:jc w:val="right"/>
            </w:pPr>
            <w:r>
              <w:rPr>
                <w:rFonts w:ascii="Calibri" w:hAnsi="Calibri"/>
                <w:color w:val="404040"/>
                <w:sz w:val="19"/>
              </w:rPr>
              <w:t>Jan 2021 – Dec 2025</w:t>
            </w:r>
          </w:p>
        </w:tc>
        <w:tc>
          <w:tcPr>
            <w:tcW w:w="3600" w:type="dxa"/>
            <w:shd w:val="clear" w:color="auto" w:fill="EBF1F9"/>
            <w:vAlign w:val="center"/>
          </w:tcPr>
          <w:p w14:paraId="3487533B" w14:textId="77777777" w:rsidR="008F20FF" w:rsidRDefault="006E3843">
            <w:pPr>
              <w:jc w:val="right"/>
            </w:pPr>
            <w:r>
              <w:rPr>
                <w:rFonts w:ascii="Calibri" w:hAnsi="Calibri"/>
                <w:color w:val="404040"/>
                <w:sz w:val="19"/>
              </w:rPr>
              <w:t>Complete 60-month coverage</w:t>
            </w:r>
          </w:p>
        </w:tc>
      </w:tr>
      <w:tr w:rsidR="008F20FF" w14:paraId="01A1738A" w14:textId="77777777">
        <w:trPr>
          <w:jc w:val="center"/>
        </w:trPr>
        <w:tc>
          <w:tcPr>
            <w:tcW w:w="3168" w:type="dxa"/>
            <w:vAlign w:val="center"/>
          </w:tcPr>
          <w:p w14:paraId="3DE285CF" w14:textId="77777777" w:rsidR="008F20FF" w:rsidRDefault="006E3843">
            <w:r>
              <w:rPr>
                <w:rFonts w:ascii="Calibri" w:hAnsi="Calibri"/>
                <w:color w:val="404040"/>
                <w:sz w:val="19"/>
              </w:rPr>
              <w:t>Transaction Amount range</w:t>
            </w:r>
          </w:p>
        </w:tc>
        <w:tc>
          <w:tcPr>
            <w:tcW w:w="2592" w:type="dxa"/>
            <w:vAlign w:val="center"/>
          </w:tcPr>
          <w:p w14:paraId="36342CBE" w14:textId="77777777" w:rsidR="008F20FF" w:rsidRDefault="006E3843">
            <w:pPr>
              <w:jc w:val="right"/>
            </w:pPr>
            <w:r>
              <w:rPr>
                <w:rFonts w:ascii="Calibri" w:hAnsi="Calibri"/>
                <w:color w:val="404040"/>
                <w:sz w:val="19"/>
              </w:rPr>
              <w:t xml:space="preserve">$1,002 – </w:t>
            </w:r>
            <w:r>
              <w:rPr>
                <w:rFonts w:ascii="Calibri" w:hAnsi="Calibri"/>
                <w:color w:val="404040"/>
                <w:sz w:val="19"/>
              </w:rPr>
              <w:t>$149,940</w:t>
            </w:r>
          </w:p>
        </w:tc>
        <w:tc>
          <w:tcPr>
            <w:tcW w:w="3600" w:type="dxa"/>
            <w:vAlign w:val="center"/>
          </w:tcPr>
          <w:p w14:paraId="0AA54700" w14:textId="77777777" w:rsidR="008F20FF" w:rsidRDefault="006E3843">
            <w:pPr>
              <w:jc w:val="right"/>
            </w:pPr>
            <w:r>
              <w:rPr>
                <w:rFonts w:ascii="Calibri" w:hAnsi="Calibri"/>
                <w:color w:val="404040"/>
                <w:sz w:val="19"/>
              </w:rPr>
              <w:t>No outliers identified</w:t>
            </w:r>
          </w:p>
        </w:tc>
      </w:tr>
      <w:tr w:rsidR="008F20FF" w14:paraId="254E0E94" w14:textId="77777777">
        <w:trPr>
          <w:jc w:val="center"/>
        </w:trPr>
        <w:tc>
          <w:tcPr>
            <w:tcW w:w="3168" w:type="dxa"/>
            <w:shd w:val="clear" w:color="auto" w:fill="EBF1F9"/>
            <w:vAlign w:val="center"/>
          </w:tcPr>
          <w:p w14:paraId="29DA32E0" w14:textId="77777777" w:rsidR="008F20FF" w:rsidRDefault="006E3843">
            <w:r>
              <w:rPr>
                <w:rFonts w:ascii="Calibri" w:hAnsi="Calibri"/>
                <w:color w:val="404040"/>
                <w:sz w:val="19"/>
              </w:rPr>
              <w:t>Average transaction</w:t>
            </w:r>
          </w:p>
        </w:tc>
        <w:tc>
          <w:tcPr>
            <w:tcW w:w="2592" w:type="dxa"/>
            <w:shd w:val="clear" w:color="auto" w:fill="EBF1F9"/>
            <w:vAlign w:val="center"/>
          </w:tcPr>
          <w:p w14:paraId="32DE88A1" w14:textId="77777777" w:rsidR="008F20FF" w:rsidRDefault="006E3843">
            <w:pPr>
              <w:jc w:val="right"/>
            </w:pPr>
            <w:r>
              <w:rPr>
                <w:rFonts w:ascii="Calibri" w:hAnsi="Calibri"/>
                <w:color w:val="404040"/>
                <w:sz w:val="19"/>
              </w:rPr>
              <w:t>$34,517</w:t>
            </w:r>
          </w:p>
        </w:tc>
        <w:tc>
          <w:tcPr>
            <w:tcW w:w="3600" w:type="dxa"/>
            <w:shd w:val="clear" w:color="auto" w:fill="EBF1F9"/>
            <w:vAlign w:val="center"/>
          </w:tcPr>
          <w:p w14:paraId="1E2C51E2" w14:textId="77777777" w:rsidR="008F20FF" w:rsidRDefault="006E3843">
            <w:pPr>
              <w:jc w:val="right"/>
            </w:pPr>
            <w:r>
              <w:rPr>
                <w:rFonts w:ascii="Calibri" w:hAnsi="Calibri"/>
                <w:color w:val="404040"/>
                <w:sz w:val="19"/>
              </w:rPr>
              <w:t>Consistent with professional services spend</w:t>
            </w:r>
          </w:p>
        </w:tc>
      </w:tr>
      <w:tr w:rsidR="008F20FF" w14:paraId="7A13BEBD" w14:textId="77777777">
        <w:trPr>
          <w:jc w:val="center"/>
        </w:trPr>
        <w:tc>
          <w:tcPr>
            <w:tcW w:w="3168" w:type="dxa"/>
            <w:vAlign w:val="center"/>
          </w:tcPr>
          <w:p w14:paraId="3E91F9D4" w14:textId="77777777" w:rsidR="008F20FF" w:rsidRDefault="006E3843">
            <w:r>
              <w:rPr>
                <w:rFonts w:ascii="Calibri" w:hAnsi="Calibri"/>
                <w:color w:val="404040"/>
                <w:sz w:val="19"/>
              </w:rPr>
              <w:t>Duplicate records</w:t>
            </w:r>
          </w:p>
        </w:tc>
        <w:tc>
          <w:tcPr>
            <w:tcW w:w="2592" w:type="dxa"/>
            <w:vAlign w:val="center"/>
          </w:tcPr>
          <w:p w14:paraId="012A02BD" w14:textId="77777777" w:rsidR="008F20FF" w:rsidRDefault="006E3843">
            <w:pPr>
              <w:jc w:val="right"/>
            </w:pPr>
            <w:r>
              <w:rPr>
                <w:rFonts w:ascii="Calibri" w:hAnsi="Calibri"/>
                <w:color w:val="404040"/>
                <w:sz w:val="19"/>
              </w:rPr>
              <w:t>None detected</w:t>
            </w:r>
          </w:p>
        </w:tc>
        <w:tc>
          <w:tcPr>
            <w:tcW w:w="3600" w:type="dxa"/>
            <w:vAlign w:val="center"/>
          </w:tcPr>
          <w:p w14:paraId="43B7B7D2" w14:textId="77777777" w:rsidR="008F20FF" w:rsidRDefault="006E3843">
            <w:pPr>
              <w:jc w:val="right"/>
            </w:pPr>
            <w:r>
              <w:rPr>
                <w:rFonts w:ascii="Calibri" w:hAnsi="Calibri"/>
                <w:color w:val="404040"/>
                <w:sz w:val="19"/>
              </w:rPr>
              <w:t>Journal IDs are unique</w:t>
            </w:r>
          </w:p>
        </w:tc>
      </w:tr>
      <w:tr w:rsidR="008F20FF" w14:paraId="7CE7DFB4" w14:textId="77777777">
        <w:trPr>
          <w:jc w:val="center"/>
        </w:trPr>
        <w:tc>
          <w:tcPr>
            <w:tcW w:w="3168" w:type="dxa"/>
            <w:shd w:val="clear" w:color="auto" w:fill="EBF1F9"/>
            <w:vAlign w:val="center"/>
          </w:tcPr>
          <w:p w14:paraId="628960F4" w14:textId="77777777" w:rsidR="008F20FF" w:rsidRDefault="006E3843">
            <w:r>
              <w:rPr>
                <w:rFonts w:ascii="Calibri" w:hAnsi="Calibri"/>
                <w:color w:val="404040"/>
                <w:sz w:val="19"/>
              </w:rPr>
              <w:t>Inconsistent categories</w:t>
            </w:r>
          </w:p>
        </w:tc>
        <w:tc>
          <w:tcPr>
            <w:tcW w:w="2592" w:type="dxa"/>
            <w:shd w:val="clear" w:color="auto" w:fill="EBF1F9"/>
            <w:vAlign w:val="center"/>
          </w:tcPr>
          <w:p w14:paraId="4B595A10" w14:textId="77777777" w:rsidR="008F20FF" w:rsidRDefault="006E3843">
            <w:pPr>
              <w:jc w:val="right"/>
            </w:pPr>
            <w:r>
              <w:rPr>
                <w:rFonts w:ascii="Calibri" w:hAnsi="Calibri"/>
                <w:color w:val="404040"/>
                <w:sz w:val="19"/>
              </w:rPr>
              <w:t>None</w:t>
            </w:r>
          </w:p>
        </w:tc>
        <w:tc>
          <w:tcPr>
            <w:tcW w:w="3600" w:type="dxa"/>
            <w:shd w:val="clear" w:color="auto" w:fill="EBF1F9"/>
            <w:vAlign w:val="center"/>
          </w:tcPr>
          <w:p w14:paraId="3DE10775" w14:textId="77777777" w:rsidR="008F20FF" w:rsidRDefault="006E3843">
            <w:pPr>
              <w:jc w:val="right"/>
            </w:pPr>
            <w:r>
              <w:rPr>
                <w:rFonts w:ascii="Calibri" w:hAnsi="Calibri"/>
                <w:color w:val="404040"/>
                <w:sz w:val="19"/>
              </w:rPr>
              <w:t>Spend types fully standardized</w:t>
            </w:r>
          </w:p>
        </w:tc>
      </w:tr>
    </w:tbl>
    <w:p w14:paraId="667DF22D" w14:textId="77777777" w:rsidR="008F20FF" w:rsidRDefault="008F20FF"/>
    <w:p w14:paraId="08C096DF" w14:textId="77777777" w:rsidR="008F20FF" w:rsidRDefault="006E3843">
      <w:pPr>
        <w:spacing w:after="120"/>
      </w:pPr>
      <w:r>
        <w:rPr>
          <w:rFonts w:ascii="Calibri" w:hAnsi="Calibri"/>
          <w:i/>
          <w:color w:val="404040"/>
          <w:sz w:val="21"/>
        </w:rPr>
        <w:t xml:space="preserve">The dataset is clean and </w:t>
      </w:r>
      <w:r>
        <w:rPr>
          <w:rFonts w:ascii="Calibri" w:hAnsi="Calibri"/>
          <w:i/>
          <w:color w:val="404040"/>
          <w:sz w:val="21"/>
        </w:rPr>
        <w:t>complete. No imputation, deduplication, or category reconciliation was required. This is unusual for a real-world dataset — in practice, similar analyses typically require 20–40% of total project time for data cleaning.</w:t>
      </w:r>
    </w:p>
    <w:p w14:paraId="5F68996A" w14:textId="77777777" w:rsidR="008F20FF" w:rsidRDefault="006E3843">
      <w:r>
        <w:br w:type="page"/>
      </w:r>
    </w:p>
    <w:p w14:paraId="4AD25E62" w14:textId="77777777" w:rsidR="008F20FF" w:rsidRDefault="006E3843">
      <w:pPr>
        <w:shd w:val="clear" w:color="auto" w:fill="1F3864"/>
        <w:spacing w:before="280" w:after="80"/>
      </w:pPr>
      <w:r>
        <w:rPr>
          <w:rFonts w:ascii="Calibri" w:hAnsi="Calibri"/>
          <w:b/>
          <w:color w:val="FFFFFF"/>
          <w:sz w:val="26"/>
        </w:rPr>
        <w:lastRenderedPageBreak/>
        <w:t xml:space="preserve">  4.  Analytical Methodology</w:t>
      </w:r>
    </w:p>
    <w:p w14:paraId="037BBE81" w14:textId="77777777" w:rsidR="008F20FF" w:rsidRDefault="008F20FF">
      <w:pPr>
        <w:spacing w:after="120"/>
      </w:pPr>
    </w:p>
    <w:p w14:paraId="3D4819BB" w14:textId="77777777" w:rsidR="008F20FF" w:rsidRDefault="006E3843">
      <w:pPr>
        <w:pBdr>
          <w:bottom w:val="single" w:sz="4" w:space="1" w:color="2F5597"/>
        </w:pBdr>
        <w:spacing w:before="200" w:after="60"/>
      </w:pPr>
      <w:r>
        <w:rPr>
          <w:rFonts w:ascii="Calibri" w:hAnsi="Calibri"/>
          <w:b/>
          <w:color w:val="1F3864"/>
        </w:rPr>
        <w:t>4.1  Aggregation Framework</w:t>
      </w:r>
    </w:p>
    <w:p w14:paraId="120FDD9F" w14:textId="77777777" w:rsidR="008F20FF" w:rsidRDefault="006E3843">
      <w:pPr>
        <w:spacing w:after="160"/>
      </w:pPr>
      <w:r>
        <w:rPr>
          <w:rFonts w:ascii="Calibri" w:hAnsi="Calibri"/>
          <w:sz w:val="21"/>
        </w:rPr>
        <w:t>All aggregations were built from the raw transaction level using Python (pandas). Four primary analytical dimensions were applied: Time (Year and Month), Business Unit, Cost Center, and Vendor. Two cross-cutting dimensions — Spend Type and GL Account — provided the strategic analytical layer.</w:t>
      </w:r>
    </w:p>
    <w:tbl>
      <w:tblPr>
        <w:tblStyle w:val="TableGrid"/>
        <w:tblW w:w="0" w:type="auto"/>
        <w:jc w:val="center"/>
        <w:tblLook w:val="04A0" w:firstRow="1" w:lastRow="0" w:firstColumn="1" w:lastColumn="0" w:noHBand="0" w:noVBand="1"/>
      </w:tblPr>
      <w:tblGrid>
        <w:gridCol w:w="2304"/>
        <w:gridCol w:w="3168"/>
        <w:gridCol w:w="3888"/>
      </w:tblGrid>
      <w:tr w:rsidR="008F20FF" w14:paraId="5672D953" w14:textId="77777777">
        <w:trPr>
          <w:jc w:val="center"/>
        </w:trPr>
        <w:tc>
          <w:tcPr>
            <w:tcW w:w="2304" w:type="dxa"/>
            <w:shd w:val="clear" w:color="auto" w:fill="1F3864"/>
            <w:vAlign w:val="center"/>
          </w:tcPr>
          <w:p w14:paraId="05B5E991" w14:textId="77777777" w:rsidR="008F20FF" w:rsidRDefault="006E3843">
            <w:pPr>
              <w:jc w:val="center"/>
            </w:pPr>
            <w:r>
              <w:rPr>
                <w:rFonts w:ascii="Calibri" w:hAnsi="Calibri"/>
                <w:b/>
                <w:color w:val="FFFFFF"/>
                <w:sz w:val="19"/>
              </w:rPr>
              <w:t>Dimension</w:t>
            </w:r>
          </w:p>
        </w:tc>
        <w:tc>
          <w:tcPr>
            <w:tcW w:w="3168" w:type="dxa"/>
            <w:shd w:val="clear" w:color="auto" w:fill="1F3864"/>
            <w:vAlign w:val="center"/>
          </w:tcPr>
          <w:p w14:paraId="2ECE1A1F" w14:textId="77777777" w:rsidR="008F20FF" w:rsidRDefault="006E3843">
            <w:pPr>
              <w:jc w:val="center"/>
            </w:pPr>
            <w:r>
              <w:rPr>
                <w:rFonts w:ascii="Calibri" w:hAnsi="Calibri"/>
                <w:b/>
                <w:color w:val="FFFFFF"/>
                <w:sz w:val="19"/>
              </w:rPr>
              <w:t>Values</w:t>
            </w:r>
          </w:p>
        </w:tc>
        <w:tc>
          <w:tcPr>
            <w:tcW w:w="3888" w:type="dxa"/>
            <w:shd w:val="clear" w:color="auto" w:fill="1F3864"/>
            <w:vAlign w:val="center"/>
          </w:tcPr>
          <w:p w14:paraId="33CCE4D0" w14:textId="77777777" w:rsidR="008F20FF" w:rsidRDefault="006E3843">
            <w:pPr>
              <w:jc w:val="center"/>
            </w:pPr>
            <w:r>
              <w:rPr>
                <w:rFonts w:ascii="Calibri" w:hAnsi="Calibri"/>
                <w:b/>
                <w:color w:val="FFFFFF"/>
                <w:sz w:val="19"/>
              </w:rPr>
              <w:t>Analytical Use</w:t>
            </w:r>
          </w:p>
        </w:tc>
      </w:tr>
      <w:tr w:rsidR="008F20FF" w14:paraId="6B4F656B" w14:textId="77777777">
        <w:trPr>
          <w:jc w:val="center"/>
        </w:trPr>
        <w:tc>
          <w:tcPr>
            <w:tcW w:w="2304" w:type="dxa"/>
            <w:vAlign w:val="center"/>
          </w:tcPr>
          <w:p w14:paraId="0F083639" w14:textId="77777777" w:rsidR="008F20FF" w:rsidRDefault="006E3843">
            <w:r>
              <w:rPr>
                <w:rFonts w:ascii="Calibri" w:hAnsi="Calibri"/>
                <w:color w:val="404040"/>
                <w:sz w:val="19"/>
              </w:rPr>
              <w:t>Time — Year</w:t>
            </w:r>
          </w:p>
        </w:tc>
        <w:tc>
          <w:tcPr>
            <w:tcW w:w="3168" w:type="dxa"/>
            <w:vAlign w:val="center"/>
          </w:tcPr>
          <w:p w14:paraId="4914DFDB" w14:textId="77777777" w:rsidR="008F20FF" w:rsidRDefault="006E3843">
            <w:pPr>
              <w:jc w:val="right"/>
            </w:pPr>
            <w:r>
              <w:rPr>
                <w:rFonts w:ascii="Calibri" w:hAnsi="Calibri"/>
                <w:color w:val="404040"/>
                <w:sz w:val="19"/>
              </w:rPr>
              <w:t>FY2021–FY2025 (5 years)</w:t>
            </w:r>
          </w:p>
        </w:tc>
        <w:tc>
          <w:tcPr>
            <w:tcW w:w="3888" w:type="dxa"/>
            <w:vAlign w:val="center"/>
          </w:tcPr>
          <w:p w14:paraId="40DCA269" w14:textId="77777777" w:rsidR="008F20FF" w:rsidRDefault="006E3843">
            <w:pPr>
              <w:jc w:val="right"/>
            </w:pPr>
            <w:r>
              <w:rPr>
                <w:rFonts w:ascii="Calibri" w:hAnsi="Calibri"/>
                <w:color w:val="404040"/>
                <w:sz w:val="19"/>
              </w:rPr>
              <w:t>Year-over-year trend, CAGR</w:t>
            </w:r>
          </w:p>
        </w:tc>
      </w:tr>
      <w:tr w:rsidR="008F20FF" w14:paraId="176CEA4C" w14:textId="77777777">
        <w:trPr>
          <w:jc w:val="center"/>
        </w:trPr>
        <w:tc>
          <w:tcPr>
            <w:tcW w:w="2304" w:type="dxa"/>
            <w:shd w:val="clear" w:color="auto" w:fill="EBF1F9"/>
            <w:vAlign w:val="center"/>
          </w:tcPr>
          <w:p w14:paraId="5FF29A74" w14:textId="77777777" w:rsidR="008F20FF" w:rsidRDefault="006E3843">
            <w:r>
              <w:rPr>
                <w:rFonts w:ascii="Calibri" w:hAnsi="Calibri"/>
                <w:color w:val="404040"/>
                <w:sz w:val="19"/>
              </w:rPr>
              <w:t>Time — Month</w:t>
            </w:r>
          </w:p>
        </w:tc>
        <w:tc>
          <w:tcPr>
            <w:tcW w:w="3168" w:type="dxa"/>
            <w:shd w:val="clear" w:color="auto" w:fill="EBF1F9"/>
            <w:vAlign w:val="center"/>
          </w:tcPr>
          <w:p w14:paraId="791C3339" w14:textId="77777777" w:rsidR="008F20FF" w:rsidRDefault="006E3843">
            <w:pPr>
              <w:jc w:val="right"/>
            </w:pPr>
            <w:r>
              <w:rPr>
                <w:rFonts w:ascii="Calibri" w:hAnsi="Calibri"/>
                <w:color w:val="404040"/>
                <w:sz w:val="19"/>
              </w:rPr>
              <w:t>60 months (2021-01 to 2025-12)</w:t>
            </w:r>
          </w:p>
        </w:tc>
        <w:tc>
          <w:tcPr>
            <w:tcW w:w="3888" w:type="dxa"/>
            <w:shd w:val="clear" w:color="auto" w:fill="EBF1F9"/>
            <w:vAlign w:val="center"/>
          </w:tcPr>
          <w:p w14:paraId="49E5FECD" w14:textId="77777777" w:rsidR="008F20FF" w:rsidRDefault="006E3843">
            <w:pPr>
              <w:jc w:val="right"/>
            </w:pPr>
            <w:r>
              <w:rPr>
                <w:rFonts w:ascii="Calibri" w:hAnsi="Calibri"/>
                <w:color w:val="404040"/>
                <w:sz w:val="19"/>
              </w:rPr>
              <w:t>Seasonality, anomaly detection</w:t>
            </w:r>
          </w:p>
        </w:tc>
      </w:tr>
      <w:tr w:rsidR="008F20FF" w14:paraId="74030091" w14:textId="77777777">
        <w:trPr>
          <w:jc w:val="center"/>
        </w:trPr>
        <w:tc>
          <w:tcPr>
            <w:tcW w:w="2304" w:type="dxa"/>
            <w:vAlign w:val="center"/>
          </w:tcPr>
          <w:p w14:paraId="486527B2" w14:textId="77777777" w:rsidR="008F20FF" w:rsidRDefault="006E3843">
            <w:r>
              <w:rPr>
                <w:rFonts w:ascii="Calibri" w:hAnsi="Calibri"/>
                <w:color w:val="404040"/>
                <w:sz w:val="19"/>
              </w:rPr>
              <w:t>Business Unit</w:t>
            </w:r>
          </w:p>
        </w:tc>
        <w:tc>
          <w:tcPr>
            <w:tcW w:w="3168" w:type="dxa"/>
            <w:vAlign w:val="center"/>
          </w:tcPr>
          <w:p w14:paraId="6BB0B971" w14:textId="77777777" w:rsidR="008F20FF" w:rsidRDefault="006E3843">
            <w:pPr>
              <w:jc w:val="right"/>
            </w:pPr>
            <w:r>
              <w:rPr>
                <w:rFonts w:ascii="Calibri" w:hAnsi="Calibri"/>
                <w:color w:val="404040"/>
                <w:sz w:val="19"/>
              </w:rPr>
              <w:t>5 BUs</w:t>
            </w:r>
          </w:p>
        </w:tc>
        <w:tc>
          <w:tcPr>
            <w:tcW w:w="3888" w:type="dxa"/>
            <w:vAlign w:val="center"/>
          </w:tcPr>
          <w:p w14:paraId="75C725D3" w14:textId="77777777" w:rsidR="008F20FF" w:rsidRDefault="006E3843">
            <w:pPr>
              <w:jc w:val="right"/>
            </w:pPr>
            <w:r>
              <w:rPr>
                <w:rFonts w:ascii="Calibri" w:hAnsi="Calibri"/>
                <w:color w:val="404040"/>
                <w:sz w:val="19"/>
              </w:rPr>
              <w:t>Accountability, budget tracking</w:t>
            </w:r>
          </w:p>
        </w:tc>
      </w:tr>
      <w:tr w:rsidR="008F20FF" w14:paraId="2C7C7850" w14:textId="77777777">
        <w:trPr>
          <w:jc w:val="center"/>
        </w:trPr>
        <w:tc>
          <w:tcPr>
            <w:tcW w:w="2304" w:type="dxa"/>
            <w:shd w:val="clear" w:color="auto" w:fill="EBF1F9"/>
            <w:vAlign w:val="center"/>
          </w:tcPr>
          <w:p w14:paraId="3239B0B0" w14:textId="77777777" w:rsidR="008F20FF" w:rsidRDefault="006E3843">
            <w:r>
              <w:rPr>
                <w:rFonts w:ascii="Calibri" w:hAnsi="Calibri"/>
                <w:color w:val="404040"/>
                <w:sz w:val="19"/>
              </w:rPr>
              <w:t>Cost Center</w:t>
            </w:r>
          </w:p>
        </w:tc>
        <w:tc>
          <w:tcPr>
            <w:tcW w:w="3168" w:type="dxa"/>
            <w:shd w:val="clear" w:color="auto" w:fill="EBF1F9"/>
            <w:vAlign w:val="center"/>
          </w:tcPr>
          <w:p w14:paraId="6A3C2D12" w14:textId="77777777" w:rsidR="008F20FF" w:rsidRDefault="006E3843">
            <w:pPr>
              <w:jc w:val="right"/>
            </w:pPr>
            <w:r>
              <w:rPr>
                <w:rFonts w:ascii="Calibri" w:hAnsi="Calibri"/>
                <w:color w:val="404040"/>
                <w:sz w:val="19"/>
              </w:rPr>
              <w:t>12 CCs</w:t>
            </w:r>
          </w:p>
        </w:tc>
        <w:tc>
          <w:tcPr>
            <w:tcW w:w="3888" w:type="dxa"/>
            <w:shd w:val="clear" w:color="auto" w:fill="EBF1F9"/>
            <w:vAlign w:val="center"/>
          </w:tcPr>
          <w:p w14:paraId="219A0347" w14:textId="77777777" w:rsidR="008F20FF" w:rsidRDefault="006E3843">
            <w:pPr>
              <w:jc w:val="right"/>
            </w:pPr>
            <w:r>
              <w:rPr>
                <w:rFonts w:ascii="Calibri" w:hAnsi="Calibri"/>
                <w:color w:val="404040"/>
                <w:sz w:val="19"/>
              </w:rPr>
              <w:t>Granular spend allocation</w:t>
            </w:r>
          </w:p>
        </w:tc>
      </w:tr>
      <w:tr w:rsidR="008F20FF" w14:paraId="5D98D3A0" w14:textId="77777777">
        <w:trPr>
          <w:jc w:val="center"/>
        </w:trPr>
        <w:tc>
          <w:tcPr>
            <w:tcW w:w="2304" w:type="dxa"/>
            <w:vAlign w:val="center"/>
          </w:tcPr>
          <w:p w14:paraId="3E204D69" w14:textId="77777777" w:rsidR="008F20FF" w:rsidRDefault="006E3843">
            <w:r>
              <w:rPr>
                <w:rFonts w:ascii="Calibri" w:hAnsi="Calibri"/>
                <w:color w:val="404040"/>
                <w:sz w:val="19"/>
              </w:rPr>
              <w:t>Vendor</w:t>
            </w:r>
          </w:p>
        </w:tc>
        <w:tc>
          <w:tcPr>
            <w:tcW w:w="3168" w:type="dxa"/>
            <w:vAlign w:val="center"/>
          </w:tcPr>
          <w:p w14:paraId="78467F65" w14:textId="77777777" w:rsidR="008F20FF" w:rsidRDefault="006E3843">
            <w:pPr>
              <w:jc w:val="right"/>
            </w:pPr>
            <w:r>
              <w:rPr>
                <w:rFonts w:ascii="Calibri" w:hAnsi="Calibri"/>
                <w:color w:val="404040"/>
                <w:sz w:val="19"/>
              </w:rPr>
              <w:t>22 vendors</w:t>
            </w:r>
          </w:p>
        </w:tc>
        <w:tc>
          <w:tcPr>
            <w:tcW w:w="3888" w:type="dxa"/>
            <w:vAlign w:val="center"/>
          </w:tcPr>
          <w:p w14:paraId="4392461E" w14:textId="77777777" w:rsidR="008F20FF" w:rsidRDefault="006E3843">
            <w:pPr>
              <w:jc w:val="right"/>
            </w:pPr>
            <w:r>
              <w:rPr>
                <w:rFonts w:ascii="Calibri" w:hAnsi="Calibri"/>
                <w:color w:val="404040"/>
                <w:sz w:val="19"/>
              </w:rPr>
              <w:t>Concentration risk, category analysis</w:t>
            </w:r>
          </w:p>
        </w:tc>
      </w:tr>
      <w:tr w:rsidR="008F20FF" w14:paraId="64354D77" w14:textId="77777777">
        <w:trPr>
          <w:jc w:val="center"/>
        </w:trPr>
        <w:tc>
          <w:tcPr>
            <w:tcW w:w="2304" w:type="dxa"/>
            <w:shd w:val="clear" w:color="auto" w:fill="EBF1F9"/>
            <w:vAlign w:val="center"/>
          </w:tcPr>
          <w:p w14:paraId="4AFB7C16" w14:textId="77777777" w:rsidR="008F20FF" w:rsidRDefault="006E3843">
            <w:r>
              <w:rPr>
                <w:rFonts w:ascii="Calibri" w:hAnsi="Calibri"/>
                <w:color w:val="404040"/>
                <w:sz w:val="19"/>
              </w:rPr>
              <w:t>Spend Type</w:t>
            </w:r>
          </w:p>
        </w:tc>
        <w:tc>
          <w:tcPr>
            <w:tcW w:w="3168" w:type="dxa"/>
            <w:shd w:val="clear" w:color="auto" w:fill="EBF1F9"/>
            <w:vAlign w:val="center"/>
          </w:tcPr>
          <w:p w14:paraId="2CD44577" w14:textId="77777777" w:rsidR="008F20FF" w:rsidRDefault="006E3843">
            <w:pPr>
              <w:jc w:val="right"/>
            </w:pPr>
            <w:r>
              <w:rPr>
                <w:rFonts w:ascii="Calibri" w:hAnsi="Calibri"/>
                <w:color w:val="404040"/>
                <w:sz w:val="19"/>
              </w:rPr>
              <w:t>Project / Cloud / Infra / Software</w:t>
            </w:r>
          </w:p>
        </w:tc>
        <w:tc>
          <w:tcPr>
            <w:tcW w:w="3888" w:type="dxa"/>
            <w:shd w:val="clear" w:color="auto" w:fill="EBF1F9"/>
            <w:vAlign w:val="center"/>
          </w:tcPr>
          <w:p w14:paraId="6679A82A" w14:textId="77777777" w:rsidR="008F20FF" w:rsidRDefault="006E3843">
            <w:pPr>
              <w:jc w:val="right"/>
            </w:pPr>
            <w:r>
              <w:rPr>
                <w:rFonts w:ascii="Calibri" w:hAnsi="Calibri"/>
                <w:color w:val="404040"/>
                <w:sz w:val="19"/>
              </w:rPr>
              <w:t>Project vs. Run strategic split</w:t>
            </w:r>
          </w:p>
        </w:tc>
      </w:tr>
      <w:tr w:rsidR="008F20FF" w14:paraId="0BF17E77" w14:textId="77777777">
        <w:trPr>
          <w:jc w:val="center"/>
        </w:trPr>
        <w:tc>
          <w:tcPr>
            <w:tcW w:w="2304" w:type="dxa"/>
            <w:vAlign w:val="center"/>
          </w:tcPr>
          <w:p w14:paraId="6BE9B1E2" w14:textId="77777777" w:rsidR="008F20FF" w:rsidRDefault="006E3843">
            <w:r>
              <w:rPr>
                <w:rFonts w:ascii="Calibri" w:hAnsi="Calibri"/>
                <w:color w:val="404040"/>
                <w:sz w:val="19"/>
              </w:rPr>
              <w:t>GL Account</w:t>
            </w:r>
          </w:p>
        </w:tc>
        <w:tc>
          <w:tcPr>
            <w:tcW w:w="3168" w:type="dxa"/>
            <w:vAlign w:val="center"/>
          </w:tcPr>
          <w:p w14:paraId="7F5A1B44" w14:textId="77777777" w:rsidR="008F20FF" w:rsidRDefault="006E3843">
            <w:pPr>
              <w:jc w:val="right"/>
            </w:pPr>
            <w:r>
              <w:rPr>
                <w:rFonts w:ascii="Calibri" w:hAnsi="Calibri"/>
                <w:color w:val="404040"/>
                <w:sz w:val="19"/>
              </w:rPr>
              <w:t xml:space="preserve">8 codes </w:t>
            </w:r>
            <w:r>
              <w:rPr>
                <w:rFonts w:ascii="Calibri" w:hAnsi="Calibri"/>
                <w:color w:val="404040"/>
                <w:sz w:val="19"/>
              </w:rPr>
              <w:t>(612100–612800)</w:t>
            </w:r>
          </w:p>
        </w:tc>
        <w:tc>
          <w:tcPr>
            <w:tcW w:w="3888" w:type="dxa"/>
            <w:vAlign w:val="center"/>
          </w:tcPr>
          <w:p w14:paraId="3ED4FCC2" w14:textId="77777777" w:rsidR="008F20FF" w:rsidRDefault="006E3843">
            <w:pPr>
              <w:jc w:val="right"/>
            </w:pPr>
            <w:r>
              <w:rPr>
                <w:rFonts w:ascii="Calibri" w:hAnsi="Calibri"/>
                <w:color w:val="404040"/>
                <w:sz w:val="19"/>
              </w:rPr>
              <w:t>Cost classification and category mapping</w:t>
            </w:r>
          </w:p>
        </w:tc>
      </w:tr>
    </w:tbl>
    <w:p w14:paraId="4A8D427E" w14:textId="77777777" w:rsidR="008F20FF" w:rsidRDefault="008F20FF"/>
    <w:p w14:paraId="283CBC82" w14:textId="77777777" w:rsidR="008F20FF" w:rsidRDefault="006E3843">
      <w:pPr>
        <w:pBdr>
          <w:bottom w:val="single" w:sz="4" w:space="1" w:color="2F5597"/>
        </w:pBdr>
        <w:spacing w:before="200" w:after="60"/>
      </w:pPr>
      <w:r>
        <w:rPr>
          <w:rFonts w:ascii="Calibri" w:hAnsi="Calibri"/>
          <w:b/>
          <w:color w:val="1F3864"/>
        </w:rPr>
        <w:t>4.2  Project vs. Run Model</w:t>
      </w:r>
    </w:p>
    <w:p w14:paraId="3D188DCF" w14:textId="77777777" w:rsidR="008F20FF" w:rsidRDefault="006E3843">
      <w:pPr>
        <w:spacing w:after="80"/>
      </w:pPr>
      <w:r>
        <w:rPr>
          <w:rFonts w:ascii="Calibri" w:hAnsi="Calibri"/>
          <w:sz w:val="21"/>
        </w:rPr>
        <w:t>The Project/Run split is the most strategically useful analytical lens in this dataset. It was not available directly — it required modeling. The classification used:</w:t>
      </w:r>
    </w:p>
    <w:p w14:paraId="72051C15" w14:textId="77777777" w:rsidR="008F20FF" w:rsidRDefault="006E3843">
      <w:pPr>
        <w:pStyle w:val="ListBullet"/>
        <w:spacing w:before="20" w:after="60"/>
      </w:pPr>
      <w:r>
        <w:rPr>
          <w:rFonts w:ascii="Calibri" w:hAnsi="Calibri"/>
          <w:sz w:val="21"/>
        </w:rPr>
        <w:t>PROJECT (Discretionary): Spend Type = 'Project' — $245.6M over 5 years</w:t>
      </w:r>
    </w:p>
    <w:p w14:paraId="49134252" w14:textId="77777777" w:rsidR="008F20FF" w:rsidRDefault="006E3843">
      <w:pPr>
        <w:pStyle w:val="ListBullet"/>
        <w:spacing w:before="20" w:after="60"/>
      </w:pPr>
      <w:r>
        <w:rPr>
          <w:rFonts w:ascii="Calibri" w:hAnsi="Calibri"/>
          <w:sz w:val="21"/>
        </w:rPr>
        <w:t>RUN (Operational): Spend Type ∈ {'Cloud', 'Infrastructure', 'Software'} — $440.7M</w:t>
      </w:r>
    </w:p>
    <w:p w14:paraId="02E424D3" w14:textId="77777777" w:rsidR="008F20FF" w:rsidRDefault="006E3843">
      <w:pPr>
        <w:spacing w:after="160"/>
      </w:pPr>
      <w:r>
        <w:rPr>
          <w:rFonts w:ascii="Calibri" w:hAnsi="Calibri"/>
          <w:sz w:val="21"/>
        </w:rPr>
        <w:t xml:space="preserve">This split reveals that Nexora maintains a 36%/64% Project/Run ratio — within the industry </w:t>
      </w:r>
      <w:r>
        <w:rPr>
          <w:rFonts w:ascii="Calibri" w:hAnsi="Calibri"/>
          <w:sz w:val="21"/>
        </w:rPr>
        <w:t>benchmark range of 30–40% for project investment. However, the flat $49M annual project ceiling is a structural governance finding, not a natural market outcome.</w:t>
      </w:r>
    </w:p>
    <w:p w14:paraId="05656EC0" w14:textId="77777777" w:rsidR="008F20FF" w:rsidRDefault="006E3843">
      <w:pPr>
        <w:pBdr>
          <w:bottom w:val="single" w:sz="4" w:space="1" w:color="2F5597"/>
        </w:pBdr>
        <w:spacing w:before="200" w:after="60"/>
      </w:pPr>
      <w:r>
        <w:rPr>
          <w:rFonts w:ascii="Calibri" w:hAnsi="Calibri"/>
          <w:b/>
          <w:color w:val="1F3864"/>
        </w:rPr>
        <w:t>4.3  KPI Calculations</w:t>
      </w:r>
    </w:p>
    <w:tbl>
      <w:tblPr>
        <w:tblStyle w:val="TableGrid"/>
        <w:tblW w:w="0" w:type="auto"/>
        <w:jc w:val="center"/>
        <w:tblLook w:val="04A0" w:firstRow="1" w:lastRow="0" w:firstColumn="1" w:lastColumn="0" w:noHBand="0" w:noVBand="1"/>
      </w:tblPr>
      <w:tblGrid>
        <w:gridCol w:w="2592"/>
        <w:gridCol w:w="3600"/>
        <w:gridCol w:w="3168"/>
      </w:tblGrid>
      <w:tr w:rsidR="008F20FF" w14:paraId="6BBD414A" w14:textId="77777777">
        <w:trPr>
          <w:jc w:val="center"/>
        </w:trPr>
        <w:tc>
          <w:tcPr>
            <w:tcW w:w="2592" w:type="dxa"/>
            <w:shd w:val="clear" w:color="auto" w:fill="1F3864"/>
            <w:vAlign w:val="center"/>
          </w:tcPr>
          <w:p w14:paraId="1F5662CB" w14:textId="77777777" w:rsidR="008F20FF" w:rsidRDefault="006E3843">
            <w:pPr>
              <w:jc w:val="center"/>
            </w:pPr>
            <w:r>
              <w:rPr>
                <w:rFonts w:ascii="Calibri" w:hAnsi="Calibri"/>
                <w:b/>
                <w:color w:val="FFFFFF"/>
                <w:sz w:val="19"/>
              </w:rPr>
              <w:t>KPI</w:t>
            </w:r>
          </w:p>
        </w:tc>
        <w:tc>
          <w:tcPr>
            <w:tcW w:w="3600" w:type="dxa"/>
            <w:shd w:val="clear" w:color="auto" w:fill="1F3864"/>
            <w:vAlign w:val="center"/>
          </w:tcPr>
          <w:p w14:paraId="5018C234" w14:textId="77777777" w:rsidR="008F20FF" w:rsidRDefault="006E3843">
            <w:pPr>
              <w:jc w:val="center"/>
            </w:pPr>
            <w:r>
              <w:rPr>
                <w:rFonts w:ascii="Calibri" w:hAnsi="Calibri"/>
                <w:b/>
                <w:color w:val="FFFFFF"/>
                <w:sz w:val="19"/>
              </w:rPr>
              <w:t>Formula</w:t>
            </w:r>
          </w:p>
        </w:tc>
        <w:tc>
          <w:tcPr>
            <w:tcW w:w="3168" w:type="dxa"/>
            <w:shd w:val="clear" w:color="auto" w:fill="1F3864"/>
            <w:vAlign w:val="center"/>
          </w:tcPr>
          <w:p w14:paraId="60DF25E2" w14:textId="77777777" w:rsidR="008F20FF" w:rsidRDefault="006E3843">
            <w:pPr>
              <w:jc w:val="center"/>
            </w:pPr>
            <w:r>
              <w:rPr>
                <w:rFonts w:ascii="Calibri" w:hAnsi="Calibri"/>
                <w:b/>
                <w:color w:val="FFFFFF"/>
                <w:sz w:val="19"/>
              </w:rPr>
              <w:t>Dashboard Location</w:t>
            </w:r>
          </w:p>
        </w:tc>
      </w:tr>
      <w:tr w:rsidR="008F20FF" w14:paraId="38538744" w14:textId="77777777">
        <w:trPr>
          <w:jc w:val="center"/>
        </w:trPr>
        <w:tc>
          <w:tcPr>
            <w:tcW w:w="2592" w:type="dxa"/>
            <w:vAlign w:val="center"/>
          </w:tcPr>
          <w:p w14:paraId="567EAD31" w14:textId="77777777" w:rsidR="008F20FF" w:rsidRDefault="006E3843">
            <w:r>
              <w:rPr>
                <w:rFonts w:ascii="Calibri" w:hAnsi="Calibri"/>
                <w:color w:val="404040"/>
                <w:sz w:val="19"/>
              </w:rPr>
              <w:t>Total IT Spend</w:t>
            </w:r>
          </w:p>
        </w:tc>
        <w:tc>
          <w:tcPr>
            <w:tcW w:w="3600" w:type="dxa"/>
            <w:vAlign w:val="center"/>
          </w:tcPr>
          <w:p w14:paraId="54C70DA3" w14:textId="77777777" w:rsidR="008F20FF" w:rsidRDefault="006E3843">
            <w:pPr>
              <w:jc w:val="right"/>
            </w:pPr>
            <w:r>
              <w:rPr>
                <w:rFonts w:ascii="Calibri" w:hAnsi="Calibri"/>
                <w:color w:val="404040"/>
                <w:sz w:val="19"/>
              </w:rPr>
              <w:t>SUM(Transaction Amount)</w:t>
            </w:r>
          </w:p>
        </w:tc>
        <w:tc>
          <w:tcPr>
            <w:tcW w:w="3168" w:type="dxa"/>
            <w:vAlign w:val="center"/>
          </w:tcPr>
          <w:p w14:paraId="73630213" w14:textId="77777777" w:rsidR="008F20FF" w:rsidRDefault="006E3843">
            <w:pPr>
              <w:jc w:val="right"/>
            </w:pPr>
            <w:r>
              <w:rPr>
                <w:rFonts w:ascii="Calibri" w:hAnsi="Calibri"/>
                <w:color w:val="404040"/>
                <w:sz w:val="19"/>
              </w:rPr>
              <w:t>Executive Dashboard</w:t>
            </w:r>
          </w:p>
        </w:tc>
      </w:tr>
      <w:tr w:rsidR="008F20FF" w14:paraId="21A6A8B8" w14:textId="77777777">
        <w:trPr>
          <w:jc w:val="center"/>
        </w:trPr>
        <w:tc>
          <w:tcPr>
            <w:tcW w:w="2592" w:type="dxa"/>
            <w:shd w:val="clear" w:color="auto" w:fill="EBF1F9"/>
            <w:vAlign w:val="center"/>
          </w:tcPr>
          <w:p w14:paraId="777918FC" w14:textId="77777777" w:rsidR="008F20FF" w:rsidRDefault="006E3843">
            <w:r>
              <w:rPr>
                <w:rFonts w:ascii="Calibri" w:hAnsi="Calibri"/>
                <w:color w:val="404040"/>
                <w:sz w:val="19"/>
              </w:rPr>
              <w:t>YoY Change ($)</w:t>
            </w:r>
          </w:p>
        </w:tc>
        <w:tc>
          <w:tcPr>
            <w:tcW w:w="3600" w:type="dxa"/>
            <w:shd w:val="clear" w:color="auto" w:fill="EBF1F9"/>
            <w:vAlign w:val="center"/>
          </w:tcPr>
          <w:p w14:paraId="7BC08137" w14:textId="77777777" w:rsidR="008F20FF" w:rsidRDefault="006E3843">
            <w:pPr>
              <w:jc w:val="right"/>
            </w:pPr>
            <w:r>
              <w:rPr>
                <w:rFonts w:ascii="Calibri" w:hAnsi="Calibri"/>
                <w:color w:val="404040"/>
                <w:sz w:val="19"/>
              </w:rPr>
              <w:t>Current Year Spend − Prior Year Spend</w:t>
            </w:r>
          </w:p>
        </w:tc>
        <w:tc>
          <w:tcPr>
            <w:tcW w:w="3168" w:type="dxa"/>
            <w:shd w:val="clear" w:color="auto" w:fill="EBF1F9"/>
            <w:vAlign w:val="center"/>
          </w:tcPr>
          <w:p w14:paraId="232A1CFC" w14:textId="77777777" w:rsidR="008F20FF" w:rsidRDefault="006E3843">
            <w:pPr>
              <w:jc w:val="right"/>
            </w:pPr>
            <w:r>
              <w:rPr>
                <w:rFonts w:ascii="Calibri" w:hAnsi="Calibri"/>
                <w:color w:val="404040"/>
                <w:sz w:val="19"/>
              </w:rPr>
              <w:t>All trend tables</w:t>
            </w:r>
          </w:p>
        </w:tc>
      </w:tr>
      <w:tr w:rsidR="008F20FF" w14:paraId="1076C0A5" w14:textId="77777777">
        <w:trPr>
          <w:jc w:val="center"/>
        </w:trPr>
        <w:tc>
          <w:tcPr>
            <w:tcW w:w="2592" w:type="dxa"/>
            <w:vAlign w:val="center"/>
          </w:tcPr>
          <w:p w14:paraId="11A36507" w14:textId="77777777" w:rsidR="008F20FF" w:rsidRDefault="006E3843">
            <w:r>
              <w:rPr>
                <w:rFonts w:ascii="Calibri" w:hAnsi="Calibri"/>
                <w:color w:val="404040"/>
                <w:sz w:val="19"/>
              </w:rPr>
              <w:t>YoY Change (%)</w:t>
            </w:r>
          </w:p>
        </w:tc>
        <w:tc>
          <w:tcPr>
            <w:tcW w:w="3600" w:type="dxa"/>
            <w:vAlign w:val="center"/>
          </w:tcPr>
          <w:p w14:paraId="44676A46" w14:textId="77777777" w:rsidR="008F20FF" w:rsidRDefault="006E3843">
            <w:pPr>
              <w:jc w:val="right"/>
            </w:pPr>
            <w:r>
              <w:rPr>
                <w:rFonts w:ascii="Calibri" w:hAnsi="Calibri"/>
                <w:color w:val="404040"/>
                <w:sz w:val="19"/>
              </w:rPr>
              <w:t>(Current − Prior) ÷ Prior</w:t>
            </w:r>
          </w:p>
        </w:tc>
        <w:tc>
          <w:tcPr>
            <w:tcW w:w="3168" w:type="dxa"/>
            <w:vAlign w:val="center"/>
          </w:tcPr>
          <w:p w14:paraId="4E64EA21" w14:textId="77777777" w:rsidR="008F20FF" w:rsidRDefault="006E3843">
            <w:pPr>
              <w:jc w:val="right"/>
            </w:pPr>
            <w:r>
              <w:rPr>
                <w:rFonts w:ascii="Calibri" w:hAnsi="Calibri"/>
                <w:color w:val="404040"/>
                <w:sz w:val="19"/>
              </w:rPr>
              <w:t>All trend tables</w:t>
            </w:r>
          </w:p>
        </w:tc>
      </w:tr>
      <w:tr w:rsidR="008F20FF" w14:paraId="540E93D5" w14:textId="77777777">
        <w:trPr>
          <w:jc w:val="center"/>
        </w:trPr>
        <w:tc>
          <w:tcPr>
            <w:tcW w:w="2592" w:type="dxa"/>
            <w:shd w:val="clear" w:color="auto" w:fill="EBF1F9"/>
            <w:vAlign w:val="center"/>
          </w:tcPr>
          <w:p w14:paraId="36C92673" w14:textId="77777777" w:rsidR="008F20FF" w:rsidRDefault="006E3843">
            <w:r>
              <w:rPr>
                <w:rFonts w:ascii="Calibri" w:hAnsi="Calibri"/>
                <w:color w:val="404040"/>
                <w:sz w:val="19"/>
              </w:rPr>
              <w:t>CAGR</w:t>
            </w:r>
          </w:p>
        </w:tc>
        <w:tc>
          <w:tcPr>
            <w:tcW w:w="3600" w:type="dxa"/>
            <w:shd w:val="clear" w:color="auto" w:fill="EBF1F9"/>
            <w:vAlign w:val="center"/>
          </w:tcPr>
          <w:p w14:paraId="5DD4DF92" w14:textId="77777777" w:rsidR="008F20FF" w:rsidRDefault="006E3843">
            <w:pPr>
              <w:jc w:val="right"/>
            </w:pPr>
            <w:r>
              <w:rPr>
                <w:rFonts w:ascii="Calibri" w:hAnsi="Calibri"/>
                <w:color w:val="404040"/>
                <w:sz w:val="19"/>
              </w:rPr>
              <w:t>(FY2025 ÷ FY2021)^(1/4) − 1</w:t>
            </w:r>
          </w:p>
        </w:tc>
        <w:tc>
          <w:tcPr>
            <w:tcW w:w="3168" w:type="dxa"/>
            <w:shd w:val="clear" w:color="auto" w:fill="EBF1F9"/>
            <w:vAlign w:val="center"/>
          </w:tcPr>
          <w:p w14:paraId="4A91BD0E" w14:textId="77777777" w:rsidR="008F20FF" w:rsidRDefault="006E3843">
            <w:pPr>
              <w:jc w:val="right"/>
            </w:pPr>
            <w:r>
              <w:rPr>
                <w:rFonts w:ascii="Calibri" w:hAnsi="Calibri"/>
                <w:color w:val="404040"/>
                <w:sz w:val="19"/>
              </w:rPr>
              <w:t>BU Dashboard</w:t>
            </w:r>
          </w:p>
        </w:tc>
      </w:tr>
      <w:tr w:rsidR="008F20FF" w14:paraId="01431A57" w14:textId="77777777">
        <w:trPr>
          <w:jc w:val="center"/>
        </w:trPr>
        <w:tc>
          <w:tcPr>
            <w:tcW w:w="2592" w:type="dxa"/>
            <w:vAlign w:val="center"/>
          </w:tcPr>
          <w:p w14:paraId="4E4A32BC" w14:textId="77777777" w:rsidR="008F20FF" w:rsidRDefault="006E3843">
            <w:r>
              <w:rPr>
                <w:rFonts w:ascii="Calibri" w:hAnsi="Calibri"/>
                <w:color w:val="404040"/>
                <w:sz w:val="19"/>
              </w:rPr>
              <w:t>% of Total</w:t>
            </w:r>
          </w:p>
        </w:tc>
        <w:tc>
          <w:tcPr>
            <w:tcW w:w="3600" w:type="dxa"/>
            <w:vAlign w:val="center"/>
          </w:tcPr>
          <w:p w14:paraId="0F8946C4" w14:textId="77777777" w:rsidR="008F20FF" w:rsidRDefault="006E3843">
            <w:pPr>
              <w:jc w:val="right"/>
            </w:pPr>
            <w:r>
              <w:rPr>
                <w:rFonts w:ascii="Calibri" w:hAnsi="Calibri"/>
                <w:color w:val="404040"/>
                <w:sz w:val="19"/>
              </w:rPr>
              <w:t>Segment Spend ÷ Grand Total</w:t>
            </w:r>
          </w:p>
        </w:tc>
        <w:tc>
          <w:tcPr>
            <w:tcW w:w="3168" w:type="dxa"/>
            <w:vAlign w:val="center"/>
          </w:tcPr>
          <w:p w14:paraId="206C9955" w14:textId="77777777" w:rsidR="008F20FF" w:rsidRDefault="006E3843">
            <w:pPr>
              <w:jc w:val="right"/>
            </w:pPr>
            <w:r>
              <w:rPr>
                <w:rFonts w:ascii="Calibri" w:hAnsi="Calibri"/>
                <w:color w:val="404040"/>
                <w:sz w:val="19"/>
              </w:rPr>
              <w:t xml:space="preserve">All </w:t>
            </w:r>
            <w:r>
              <w:rPr>
                <w:rFonts w:ascii="Calibri" w:hAnsi="Calibri"/>
                <w:color w:val="404040"/>
                <w:sz w:val="19"/>
              </w:rPr>
              <w:t>dashboards</w:t>
            </w:r>
          </w:p>
        </w:tc>
      </w:tr>
      <w:tr w:rsidR="008F20FF" w14:paraId="41B7E874" w14:textId="77777777">
        <w:trPr>
          <w:jc w:val="center"/>
        </w:trPr>
        <w:tc>
          <w:tcPr>
            <w:tcW w:w="2592" w:type="dxa"/>
            <w:shd w:val="clear" w:color="auto" w:fill="EBF1F9"/>
            <w:vAlign w:val="center"/>
          </w:tcPr>
          <w:p w14:paraId="06562186" w14:textId="77777777" w:rsidR="008F20FF" w:rsidRDefault="006E3843">
            <w:r>
              <w:rPr>
                <w:rFonts w:ascii="Calibri" w:hAnsi="Calibri"/>
                <w:color w:val="404040"/>
                <w:sz w:val="19"/>
              </w:rPr>
              <w:t>% of BU</w:t>
            </w:r>
          </w:p>
        </w:tc>
        <w:tc>
          <w:tcPr>
            <w:tcW w:w="3600" w:type="dxa"/>
            <w:shd w:val="clear" w:color="auto" w:fill="EBF1F9"/>
            <w:vAlign w:val="center"/>
          </w:tcPr>
          <w:p w14:paraId="3150C1B6" w14:textId="77777777" w:rsidR="008F20FF" w:rsidRDefault="006E3843">
            <w:pPr>
              <w:jc w:val="right"/>
            </w:pPr>
            <w:r>
              <w:rPr>
                <w:rFonts w:ascii="Calibri" w:hAnsi="Calibri"/>
                <w:color w:val="404040"/>
                <w:sz w:val="19"/>
              </w:rPr>
              <w:t>Cost Center Spend ÷ BU Total Spend</w:t>
            </w:r>
          </w:p>
        </w:tc>
        <w:tc>
          <w:tcPr>
            <w:tcW w:w="3168" w:type="dxa"/>
            <w:shd w:val="clear" w:color="auto" w:fill="EBF1F9"/>
            <w:vAlign w:val="center"/>
          </w:tcPr>
          <w:p w14:paraId="022432A7" w14:textId="77777777" w:rsidR="008F20FF" w:rsidRDefault="006E3843">
            <w:pPr>
              <w:jc w:val="right"/>
            </w:pPr>
            <w:r>
              <w:rPr>
                <w:rFonts w:ascii="Calibri" w:hAnsi="Calibri"/>
                <w:color w:val="404040"/>
                <w:sz w:val="19"/>
              </w:rPr>
              <w:t>CC Dashboard</w:t>
            </w:r>
          </w:p>
        </w:tc>
      </w:tr>
      <w:tr w:rsidR="008F20FF" w14:paraId="57CE9B1C" w14:textId="77777777">
        <w:trPr>
          <w:jc w:val="center"/>
        </w:trPr>
        <w:tc>
          <w:tcPr>
            <w:tcW w:w="2592" w:type="dxa"/>
            <w:vAlign w:val="center"/>
          </w:tcPr>
          <w:p w14:paraId="475D79AE" w14:textId="77777777" w:rsidR="008F20FF" w:rsidRDefault="006E3843">
            <w:r>
              <w:rPr>
                <w:rFonts w:ascii="Calibri" w:hAnsi="Calibri"/>
                <w:color w:val="404040"/>
                <w:sz w:val="19"/>
              </w:rPr>
              <w:t>Project Spend</w:t>
            </w:r>
          </w:p>
        </w:tc>
        <w:tc>
          <w:tcPr>
            <w:tcW w:w="3600" w:type="dxa"/>
            <w:vAlign w:val="center"/>
          </w:tcPr>
          <w:p w14:paraId="6811DE9A" w14:textId="77777777" w:rsidR="008F20FF" w:rsidRDefault="006E3843">
            <w:pPr>
              <w:jc w:val="right"/>
            </w:pPr>
            <w:r>
              <w:rPr>
                <w:rFonts w:ascii="Calibri" w:hAnsi="Calibri"/>
                <w:color w:val="404040"/>
                <w:sz w:val="19"/>
              </w:rPr>
              <w:t>SUM where Spend Type = 'Project'</w:t>
            </w:r>
          </w:p>
        </w:tc>
        <w:tc>
          <w:tcPr>
            <w:tcW w:w="3168" w:type="dxa"/>
            <w:vAlign w:val="center"/>
          </w:tcPr>
          <w:p w14:paraId="1095A459" w14:textId="77777777" w:rsidR="008F20FF" w:rsidRDefault="006E3843">
            <w:pPr>
              <w:jc w:val="right"/>
            </w:pPr>
            <w:r>
              <w:rPr>
                <w:rFonts w:ascii="Calibri" w:hAnsi="Calibri"/>
                <w:color w:val="404040"/>
                <w:sz w:val="19"/>
              </w:rPr>
              <w:t>P/R Dashboard</w:t>
            </w:r>
          </w:p>
        </w:tc>
      </w:tr>
      <w:tr w:rsidR="008F20FF" w14:paraId="0C43246A" w14:textId="77777777">
        <w:trPr>
          <w:jc w:val="center"/>
        </w:trPr>
        <w:tc>
          <w:tcPr>
            <w:tcW w:w="2592" w:type="dxa"/>
            <w:shd w:val="clear" w:color="auto" w:fill="EBF1F9"/>
            <w:vAlign w:val="center"/>
          </w:tcPr>
          <w:p w14:paraId="2C216487" w14:textId="77777777" w:rsidR="008F20FF" w:rsidRDefault="006E3843">
            <w:r>
              <w:rPr>
                <w:rFonts w:ascii="Calibri" w:hAnsi="Calibri"/>
                <w:color w:val="404040"/>
                <w:sz w:val="19"/>
              </w:rPr>
              <w:t>Run Spend</w:t>
            </w:r>
          </w:p>
        </w:tc>
        <w:tc>
          <w:tcPr>
            <w:tcW w:w="3600" w:type="dxa"/>
            <w:shd w:val="clear" w:color="auto" w:fill="EBF1F9"/>
            <w:vAlign w:val="center"/>
          </w:tcPr>
          <w:p w14:paraId="181A6357" w14:textId="77777777" w:rsidR="008F20FF" w:rsidRDefault="006E3843">
            <w:pPr>
              <w:jc w:val="right"/>
            </w:pPr>
            <w:r>
              <w:rPr>
                <w:rFonts w:ascii="Calibri" w:hAnsi="Calibri"/>
                <w:color w:val="404040"/>
                <w:sz w:val="19"/>
              </w:rPr>
              <w:t>SUM where Spend Type ∈ Run categories</w:t>
            </w:r>
          </w:p>
        </w:tc>
        <w:tc>
          <w:tcPr>
            <w:tcW w:w="3168" w:type="dxa"/>
            <w:shd w:val="clear" w:color="auto" w:fill="EBF1F9"/>
            <w:vAlign w:val="center"/>
          </w:tcPr>
          <w:p w14:paraId="4761C158" w14:textId="77777777" w:rsidR="008F20FF" w:rsidRDefault="006E3843">
            <w:pPr>
              <w:jc w:val="right"/>
            </w:pPr>
            <w:r>
              <w:rPr>
                <w:rFonts w:ascii="Calibri" w:hAnsi="Calibri"/>
                <w:color w:val="404040"/>
                <w:sz w:val="19"/>
              </w:rPr>
              <w:t>P/R Dashboard</w:t>
            </w:r>
          </w:p>
        </w:tc>
      </w:tr>
      <w:tr w:rsidR="008F20FF" w14:paraId="7D095AE2" w14:textId="77777777">
        <w:trPr>
          <w:jc w:val="center"/>
        </w:trPr>
        <w:tc>
          <w:tcPr>
            <w:tcW w:w="2592" w:type="dxa"/>
            <w:vAlign w:val="center"/>
          </w:tcPr>
          <w:p w14:paraId="06D8A903" w14:textId="77777777" w:rsidR="008F20FF" w:rsidRDefault="006E3843">
            <w:r>
              <w:rPr>
                <w:rFonts w:ascii="Calibri" w:hAnsi="Calibri"/>
                <w:color w:val="404040"/>
                <w:sz w:val="19"/>
              </w:rPr>
              <w:t>Vendor Concentration</w:t>
            </w:r>
          </w:p>
        </w:tc>
        <w:tc>
          <w:tcPr>
            <w:tcW w:w="3600" w:type="dxa"/>
            <w:vAlign w:val="center"/>
          </w:tcPr>
          <w:p w14:paraId="40D89BE6" w14:textId="77777777" w:rsidR="008F20FF" w:rsidRDefault="006E3843">
            <w:pPr>
              <w:jc w:val="right"/>
            </w:pPr>
            <w:r>
              <w:rPr>
                <w:rFonts w:ascii="Calibri" w:hAnsi="Calibri"/>
                <w:color w:val="404040"/>
                <w:sz w:val="19"/>
              </w:rPr>
              <w:t>SUM(Top 5 Vendors) ÷ Grand Total</w:t>
            </w:r>
          </w:p>
        </w:tc>
        <w:tc>
          <w:tcPr>
            <w:tcW w:w="3168" w:type="dxa"/>
            <w:vAlign w:val="center"/>
          </w:tcPr>
          <w:p w14:paraId="50E1AF27" w14:textId="77777777" w:rsidR="008F20FF" w:rsidRDefault="006E3843">
            <w:pPr>
              <w:jc w:val="right"/>
            </w:pPr>
            <w:r>
              <w:rPr>
                <w:rFonts w:ascii="Calibri" w:hAnsi="Calibri"/>
                <w:color w:val="404040"/>
                <w:sz w:val="19"/>
              </w:rPr>
              <w:t>Vendor Dashboard</w:t>
            </w:r>
          </w:p>
        </w:tc>
      </w:tr>
    </w:tbl>
    <w:p w14:paraId="6AF089A2" w14:textId="77777777" w:rsidR="008F20FF" w:rsidRDefault="008F20FF"/>
    <w:p w14:paraId="28DCFDAB" w14:textId="77777777" w:rsidR="008F20FF" w:rsidRDefault="006E3843">
      <w:pPr>
        <w:pBdr>
          <w:bottom w:val="single" w:sz="4" w:space="1" w:color="2F5597"/>
        </w:pBdr>
        <w:spacing w:before="200" w:after="60"/>
      </w:pPr>
      <w:r>
        <w:rPr>
          <w:rFonts w:ascii="Calibri" w:hAnsi="Calibri"/>
          <w:b/>
          <w:color w:val="1F3864"/>
        </w:rPr>
        <w:t>4.4  Tools Used</w:t>
      </w:r>
    </w:p>
    <w:tbl>
      <w:tblPr>
        <w:tblStyle w:val="TableGrid"/>
        <w:tblW w:w="0" w:type="auto"/>
        <w:jc w:val="center"/>
        <w:tblLook w:val="04A0" w:firstRow="1" w:lastRow="0" w:firstColumn="1" w:lastColumn="0" w:noHBand="0" w:noVBand="1"/>
      </w:tblPr>
      <w:tblGrid>
        <w:gridCol w:w="2880"/>
        <w:gridCol w:w="6480"/>
      </w:tblGrid>
      <w:tr w:rsidR="008F20FF" w14:paraId="607DAAD5" w14:textId="77777777">
        <w:trPr>
          <w:jc w:val="center"/>
        </w:trPr>
        <w:tc>
          <w:tcPr>
            <w:tcW w:w="2880" w:type="dxa"/>
            <w:shd w:val="clear" w:color="auto" w:fill="1F3864"/>
            <w:vAlign w:val="center"/>
          </w:tcPr>
          <w:p w14:paraId="40FC5FAA" w14:textId="77777777" w:rsidR="008F20FF" w:rsidRDefault="006E3843">
            <w:pPr>
              <w:jc w:val="center"/>
            </w:pPr>
            <w:r>
              <w:rPr>
                <w:rFonts w:ascii="Calibri" w:hAnsi="Calibri"/>
                <w:b/>
                <w:color w:val="FFFFFF"/>
                <w:sz w:val="19"/>
              </w:rPr>
              <w:t>Tool</w:t>
            </w:r>
          </w:p>
        </w:tc>
        <w:tc>
          <w:tcPr>
            <w:tcW w:w="6480" w:type="dxa"/>
            <w:shd w:val="clear" w:color="auto" w:fill="1F3864"/>
            <w:vAlign w:val="center"/>
          </w:tcPr>
          <w:p w14:paraId="2CEECEBB" w14:textId="77777777" w:rsidR="008F20FF" w:rsidRDefault="006E3843">
            <w:pPr>
              <w:jc w:val="center"/>
            </w:pPr>
            <w:r>
              <w:rPr>
                <w:rFonts w:ascii="Calibri" w:hAnsi="Calibri"/>
                <w:b/>
                <w:color w:val="FFFFFF"/>
                <w:sz w:val="19"/>
              </w:rPr>
              <w:t>Purpose</w:t>
            </w:r>
          </w:p>
        </w:tc>
      </w:tr>
      <w:tr w:rsidR="008F20FF" w14:paraId="2750BADE" w14:textId="77777777">
        <w:trPr>
          <w:jc w:val="center"/>
        </w:trPr>
        <w:tc>
          <w:tcPr>
            <w:tcW w:w="2880" w:type="dxa"/>
            <w:vAlign w:val="center"/>
          </w:tcPr>
          <w:p w14:paraId="500F917C" w14:textId="77777777" w:rsidR="008F20FF" w:rsidRDefault="006E3843">
            <w:r>
              <w:rPr>
                <w:rFonts w:ascii="Calibri" w:hAnsi="Calibri"/>
                <w:color w:val="404040"/>
                <w:sz w:val="19"/>
              </w:rPr>
              <w:t>Python — pandas</w:t>
            </w:r>
          </w:p>
        </w:tc>
        <w:tc>
          <w:tcPr>
            <w:tcW w:w="6480" w:type="dxa"/>
            <w:vAlign w:val="center"/>
          </w:tcPr>
          <w:p w14:paraId="004D0F4D" w14:textId="77777777" w:rsidR="008F20FF" w:rsidRDefault="006E3843">
            <w:pPr>
              <w:jc w:val="right"/>
            </w:pPr>
            <w:r>
              <w:rPr>
                <w:rFonts w:ascii="Calibri" w:hAnsi="Calibri"/>
                <w:color w:val="404040"/>
                <w:sz w:val="19"/>
              </w:rPr>
              <w:t>Data loading, groupby aggregations, pivot tables, all KPI calculations</w:t>
            </w:r>
          </w:p>
        </w:tc>
      </w:tr>
      <w:tr w:rsidR="008F20FF" w14:paraId="43FAF933" w14:textId="77777777">
        <w:trPr>
          <w:jc w:val="center"/>
        </w:trPr>
        <w:tc>
          <w:tcPr>
            <w:tcW w:w="2880" w:type="dxa"/>
            <w:shd w:val="clear" w:color="auto" w:fill="EBF1F9"/>
            <w:vAlign w:val="center"/>
          </w:tcPr>
          <w:p w14:paraId="5F1D8B79" w14:textId="77777777" w:rsidR="008F20FF" w:rsidRDefault="006E3843">
            <w:r>
              <w:rPr>
                <w:rFonts w:ascii="Calibri" w:hAnsi="Calibri"/>
                <w:color w:val="404040"/>
                <w:sz w:val="19"/>
              </w:rPr>
              <w:t>Python — openpyxl</w:t>
            </w:r>
          </w:p>
        </w:tc>
        <w:tc>
          <w:tcPr>
            <w:tcW w:w="6480" w:type="dxa"/>
            <w:shd w:val="clear" w:color="auto" w:fill="EBF1F9"/>
            <w:vAlign w:val="center"/>
          </w:tcPr>
          <w:p w14:paraId="0B7C8B5C" w14:textId="77777777" w:rsidR="008F20FF" w:rsidRDefault="006E3843">
            <w:pPr>
              <w:jc w:val="right"/>
            </w:pPr>
            <w:r>
              <w:rPr>
                <w:rFonts w:ascii="Calibri" w:hAnsi="Calibri"/>
                <w:color w:val="404040"/>
                <w:sz w:val="19"/>
              </w:rPr>
              <w:t>Excel workbook creation: charts, conditional formatting, table styling</w:t>
            </w:r>
          </w:p>
        </w:tc>
      </w:tr>
      <w:tr w:rsidR="008F20FF" w14:paraId="2EB68FCB" w14:textId="77777777">
        <w:trPr>
          <w:jc w:val="center"/>
        </w:trPr>
        <w:tc>
          <w:tcPr>
            <w:tcW w:w="2880" w:type="dxa"/>
            <w:vAlign w:val="center"/>
          </w:tcPr>
          <w:p w14:paraId="0E36FCE3" w14:textId="77777777" w:rsidR="008F20FF" w:rsidRDefault="006E3843">
            <w:r>
              <w:rPr>
                <w:rFonts w:ascii="Calibri" w:hAnsi="Calibri"/>
                <w:color w:val="404040"/>
                <w:sz w:val="19"/>
              </w:rPr>
              <w:t xml:space="preserve">Python — </w:t>
            </w:r>
            <w:r>
              <w:rPr>
                <w:rFonts w:ascii="Calibri" w:hAnsi="Calibri"/>
                <w:color w:val="404040"/>
                <w:sz w:val="19"/>
              </w:rPr>
              <w:t>python-pptx</w:t>
            </w:r>
          </w:p>
        </w:tc>
        <w:tc>
          <w:tcPr>
            <w:tcW w:w="6480" w:type="dxa"/>
            <w:vAlign w:val="center"/>
          </w:tcPr>
          <w:p w14:paraId="6E903E65" w14:textId="77777777" w:rsidR="008F20FF" w:rsidRDefault="006E3843">
            <w:pPr>
              <w:jc w:val="right"/>
            </w:pPr>
            <w:r>
              <w:rPr>
                <w:rFonts w:ascii="Calibri" w:hAnsi="Calibri"/>
                <w:color w:val="404040"/>
                <w:sz w:val="19"/>
              </w:rPr>
              <w:t>PowerPoint deck: real chart objects (ChartData), shapes, text, tables</w:t>
            </w:r>
          </w:p>
        </w:tc>
      </w:tr>
      <w:tr w:rsidR="008F20FF" w14:paraId="13937C26" w14:textId="77777777">
        <w:trPr>
          <w:jc w:val="center"/>
        </w:trPr>
        <w:tc>
          <w:tcPr>
            <w:tcW w:w="2880" w:type="dxa"/>
            <w:shd w:val="clear" w:color="auto" w:fill="EBF1F9"/>
            <w:vAlign w:val="center"/>
          </w:tcPr>
          <w:p w14:paraId="2CB73630" w14:textId="77777777" w:rsidR="008F20FF" w:rsidRDefault="006E3843">
            <w:r>
              <w:rPr>
                <w:rFonts w:ascii="Calibri" w:hAnsi="Calibri"/>
                <w:color w:val="404040"/>
                <w:sz w:val="19"/>
              </w:rPr>
              <w:t>Python — python-docx</w:t>
            </w:r>
          </w:p>
        </w:tc>
        <w:tc>
          <w:tcPr>
            <w:tcW w:w="6480" w:type="dxa"/>
            <w:shd w:val="clear" w:color="auto" w:fill="EBF1F9"/>
            <w:vAlign w:val="center"/>
          </w:tcPr>
          <w:p w14:paraId="0BA6A84E" w14:textId="77777777" w:rsidR="008F20FF" w:rsidRDefault="006E3843">
            <w:pPr>
              <w:jc w:val="right"/>
            </w:pPr>
            <w:r>
              <w:rPr>
                <w:rFonts w:ascii="Calibri" w:hAnsi="Calibri"/>
                <w:color w:val="404040"/>
                <w:sz w:val="19"/>
              </w:rPr>
              <w:t>Word document: styles, tables, paragraph formatting, section headers</w:t>
            </w:r>
          </w:p>
        </w:tc>
      </w:tr>
      <w:tr w:rsidR="008F20FF" w14:paraId="4FB522DD" w14:textId="77777777">
        <w:trPr>
          <w:jc w:val="center"/>
        </w:trPr>
        <w:tc>
          <w:tcPr>
            <w:tcW w:w="2880" w:type="dxa"/>
            <w:vAlign w:val="center"/>
          </w:tcPr>
          <w:p w14:paraId="1C0E800B" w14:textId="77777777" w:rsidR="008F20FF" w:rsidRDefault="006E3843">
            <w:r>
              <w:rPr>
                <w:rFonts w:ascii="Calibri" w:hAnsi="Calibri"/>
                <w:color w:val="404040"/>
                <w:sz w:val="19"/>
              </w:rPr>
              <w:t>Microsoft Excel</w:t>
            </w:r>
          </w:p>
        </w:tc>
        <w:tc>
          <w:tcPr>
            <w:tcW w:w="6480" w:type="dxa"/>
            <w:vAlign w:val="center"/>
          </w:tcPr>
          <w:p w14:paraId="7352EF59" w14:textId="77777777" w:rsidR="008F20FF" w:rsidRDefault="006E3843">
            <w:pPr>
              <w:jc w:val="right"/>
            </w:pPr>
            <w:r>
              <w:rPr>
                <w:rFonts w:ascii="Calibri" w:hAnsi="Calibri"/>
                <w:color w:val="404040"/>
                <w:sz w:val="19"/>
              </w:rPr>
              <w:t>Final review, slicer validation, formula verification</w:t>
            </w:r>
          </w:p>
        </w:tc>
      </w:tr>
    </w:tbl>
    <w:p w14:paraId="73076A19" w14:textId="77777777" w:rsidR="008F20FF" w:rsidRDefault="008F20FF"/>
    <w:p w14:paraId="7E7E3DE9" w14:textId="77777777" w:rsidR="008F20FF" w:rsidRDefault="006E3843">
      <w:r>
        <w:lastRenderedPageBreak/>
        <w:br w:type="page"/>
      </w:r>
    </w:p>
    <w:p w14:paraId="4C1A0529" w14:textId="77777777" w:rsidR="008F20FF" w:rsidRDefault="006E3843">
      <w:pPr>
        <w:shd w:val="clear" w:color="auto" w:fill="1F3864"/>
        <w:spacing w:before="280" w:after="80"/>
      </w:pPr>
      <w:r>
        <w:rPr>
          <w:rFonts w:ascii="Calibri" w:hAnsi="Calibri"/>
          <w:b/>
          <w:color w:val="FFFFFF"/>
          <w:sz w:val="26"/>
        </w:rPr>
        <w:lastRenderedPageBreak/>
        <w:t xml:space="preserve">  5.  Key Findings</w:t>
      </w:r>
    </w:p>
    <w:p w14:paraId="1D44D6EE" w14:textId="77777777" w:rsidR="008F20FF" w:rsidRDefault="008F20FF">
      <w:pPr>
        <w:spacing w:after="120"/>
      </w:pPr>
    </w:p>
    <w:p w14:paraId="74F6248D" w14:textId="77777777" w:rsidR="008F20FF" w:rsidRDefault="006E3843">
      <w:pPr>
        <w:pBdr>
          <w:bottom w:val="single" w:sz="4" w:space="1" w:color="2F5597"/>
        </w:pBdr>
        <w:spacing w:before="200" w:after="60"/>
      </w:pPr>
      <w:r>
        <w:rPr>
          <w:rFonts w:ascii="Calibri" w:hAnsi="Calibri"/>
          <w:b/>
          <w:color w:val="1F3864"/>
        </w:rPr>
        <w:t>5.1  Portfolio Level — No Growth, Managed Decline</w:t>
      </w:r>
    </w:p>
    <w:p w14:paraId="21E528FD" w14:textId="77777777" w:rsidR="008F20FF" w:rsidRDefault="006E3843">
      <w:pPr>
        <w:spacing w:after="160"/>
      </w:pPr>
      <w:r>
        <w:rPr>
          <w:rFonts w:ascii="Calibri" w:hAnsi="Calibri"/>
          <w:sz w:val="21"/>
        </w:rPr>
        <w:t xml:space="preserve">Total IT spend of $686.3M over five years averages $137.3M annually with ±$3M volatility. The trajectory is not growth — it is oscillation. FY2022 peaked at $141.5M (+4.0%), then </w:t>
      </w:r>
      <w:r>
        <w:rPr>
          <w:rFonts w:ascii="Calibri" w:hAnsi="Calibri"/>
          <w:sz w:val="21"/>
        </w:rPr>
        <w:t>retreated. FY2025 at $134.3M (-3.4%) is the lowest year in the dataset. The portfolio is not shrinking strategically — it is fluctuating reactively.</w:t>
      </w:r>
    </w:p>
    <w:p w14:paraId="6F623DCF" w14:textId="77777777" w:rsidR="008F20FF" w:rsidRDefault="006E3843">
      <w:pPr>
        <w:pBdr>
          <w:bottom w:val="single" w:sz="4" w:space="1" w:color="2F5597"/>
        </w:pBdr>
        <w:spacing w:before="200" w:after="60"/>
      </w:pPr>
      <w:r>
        <w:rPr>
          <w:rFonts w:ascii="Calibri" w:hAnsi="Calibri"/>
          <w:b/>
          <w:color w:val="1F3864"/>
        </w:rPr>
        <w:t>5.2  The $49 Million Ceiling — A Structural Finding</w:t>
      </w:r>
    </w:p>
    <w:p w14:paraId="26EA2E7A" w14:textId="77777777" w:rsidR="008F20FF" w:rsidRDefault="006E3843">
      <w:pPr>
        <w:pBdr>
          <w:left w:val="single" w:sz="16" w:space="4" w:color="ED7D31"/>
        </w:pBdr>
        <w:shd w:val="clear" w:color="auto" w:fill="FFF2CC"/>
        <w:spacing w:before="160" w:after="160"/>
        <w:ind w:left="432" w:right="432"/>
      </w:pPr>
      <w:r>
        <w:rPr>
          <w:rFonts w:ascii="Calibri" w:hAnsi="Calibri"/>
          <w:i/>
          <w:color w:val="1F3864"/>
          <w:sz w:val="21"/>
        </w:rPr>
        <w:t>Project spend: $47.5M (2021) → $49.4M (2022) → $49.6M (2023) → $49.7M (2024) → $49.4M (2025). Five-year range: $2.2M. This is not coincidence — it is a fixed budget allocation. Strategy is being constrained by budget habit, not the reverse.</w:t>
      </w:r>
    </w:p>
    <w:p w14:paraId="0105D6F7" w14:textId="77777777" w:rsidR="008F20FF" w:rsidRDefault="006E3843">
      <w:pPr>
        <w:spacing w:after="160"/>
      </w:pPr>
      <w:r>
        <w:rPr>
          <w:rFonts w:ascii="Calibri" w:hAnsi="Calibri"/>
          <w:sz w:val="21"/>
        </w:rPr>
        <w:t>The project/run ratio (35.8%/64.2%) is within industry benchmarks, but the flatness of project spend suggests no strategic scaling. High-value transformation programs are competing against a fixed ceiling, meaning lower-priority work is consuming budget that could fund higher-return initiatives.</w:t>
      </w:r>
    </w:p>
    <w:p w14:paraId="581470A2" w14:textId="77777777" w:rsidR="008F20FF" w:rsidRDefault="006E3843">
      <w:pPr>
        <w:pBdr>
          <w:bottom w:val="single" w:sz="4" w:space="1" w:color="2F5597"/>
        </w:pBdr>
        <w:spacing w:before="200" w:after="60"/>
      </w:pPr>
      <w:r>
        <w:rPr>
          <w:rFonts w:ascii="Calibri" w:hAnsi="Calibri"/>
          <w:b/>
          <w:color w:val="1F3864"/>
        </w:rPr>
        <w:t>5.3  Vendor Concentration at 48.6%</w:t>
      </w:r>
    </w:p>
    <w:p w14:paraId="2331EBD1" w14:textId="77777777" w:rsidR="008F20FF" w:rsidRDefault="006E3843">
      <w:pPr>
        <w:spacing w:after="160"/>
      </w:pPr>
      <w:r>
        <w:rPr>
          <w:rFonts w:ascii="Calibri" w:hAnsi="Calibri"/>
          <w:sz w:val="21"/>
        </w:rPr>
        <w:t>Five hardware vendors — Cisco ($78.3M), HP Enterprise ($66.0M), Dell ($64.4M), NetApp ($63.9M), and Lenovo ($61.0M) — account for $333.6M of the $686.3M portfolio. This is simultaneously a risk and an opportunity. The risk: any one vendor failure, pricing action, or product discontinuation creates immediate portfolio-level impact. The opportunity: $333.6M of consolidated spend is an extraordinary negotiating position for multi-year bundled contracts.</w:t>
      </w:r>
    </w:p>
    <w:p w14:paraId="4D30849F" w14:textId="77777777" w:rsidR="008F20FF" w:rsidRDefault="006E3843">
      <w:pPr>
        <w:pBdr>
          <w:bottom w:val="single" w:sz="4" w:space="1" w:color="2F5597"/>
        </w:pBdr>
        <w:spacing w:before="200" w:after="60"/>
      </w:pPr>
      <w:r>
        <w:rPr>
          <w:rFonts w:ascii="Calibri" w:hAnsi="Calibri"/>
          <w:b/>
          <w:color w:val="1F3864"/>
        </w:rPr>
        <w:t>5.4  Cloud: Declining or Optimizing?</w:t>
      </w:r>
    </w:p>
    <w:p w14:paraId="595C9D7A" w14:textId="77777777" w:rsidR="008F20FF" w:rsidRDefault="006E3843">
      <w:pPr>
        <w:spacing w:after="160"/>
      </w:pPr>
      <w:r>
        <w:rPr>
          <w:rFonts w:ascii="Calibri" w:hAnsi="Calibri"/>
          <w:sz w:val="21"/>
        </w:rPr>
        <w:t>Cloud spend fell from $38.8M (FY2021) to $35.9M (FY2025) — a 7.4% decline over five years. Five cloud providers are active simultaneously: AWS ($21.2M), Google Cloud ($22.2M), Microsoft Azure ($19.5M), Databricks ($22.8M), and Snowflake ($22.5M). Two interpretations are equally valid: (1) the organization is successfully optimizing cloud unit costs, or (2) a cloud-first strategy is underdelivering. The data alone cannot distinguish between these — a Cloud Center of Excellence with detailed workload-level an</w:t>
      </w:r>
      <w:r>
        <w:rPr>
          <w:rFonts w:ascii="Calibri" w:hAnsi="Calibri"/>
          <w:sz w:val="21"/>
        </w:rPr>
        <w:t>alysis is required.</w:t>
      </w:r>
    </w:p>
    <w:p w14:paraId="511249BB" w14:textId="77777777" w:rsidR="008F20FF" w:rsidRDefault="006E3843">
      <w:pPr>
        <w:pBdr>
          <w:bottom w:val="single" w:sz="4" w:space="1" w:color="2F5597"/>
        </w:pBdr>
        <w:spacing w:before="200" w:after="60"/>
      </w:pPr>
      <w:r>
        <w:rPr>
          <w:rFonts w:ascii="Calibri" w:hAnsi="Calibri"/>
          <w:b/>
          <w:color w:val="1F3864"/>
        </w:rPr>
        <w:t>5.5  Cybersecurity Underinvestment</w:t>
      </w:r>
    </w:p>
    <w:p w14:paraId="45A360CD" w14:textId="77777777" w:rsidR="008F20FF" w:rsidRDefault="006E3843">
      <w:pPr>
        <w:spacing w:after="160"/>
      </w:pPr>
      <w:r>
        <w:rPr>
          <w:rFonts w:ascii="Calibri" w:hAnsi="Calibri"/>
          <w:sz w:val="21"/>
        </w:rPr>
        <w:t>Cybersecurity &amp; Risk at $93.4M (13.6% of total IT spend) sits below the 15–20% range that Gartner and Forrester identify as appropriate for organizations with Nexora's technology profile. The 5-year CAGR is +0.7% — essentially flat in real terms. At 15%, annual Cyber spend should be ~$20.6M (vs. current average ~$18.7M). The $1.9M/year gap compounds over time and against an expanding threat landscape.</w:t>
      </w:r>
    </w:p>
    <w:p w14:paraId="27C57875" w14:textId="77777777" w:rsidR="008F20FF" w:rsidRDefault="006E3843">
      <w:pPr>
        <w:pBdr>
          <w:bottom w:val="single" w:sz="4" w:space="1" w:color="2F5597"/>
        </w:pBdr>
        <w:spacing w:before="200" w:after="60"/>
      </w:pPr>
      <w:r>
        <w:rPr>
          <w:rFonts w:ascii="Calibri" w:hAnsi="Calibri"/>
          <w:b/>
          <w:color w:val="1F3864"/>
        </w:rPr>
        <w:t>5.6  Cost Center Analysis — Concentration Within BUs</w:t>
      </w:r>
    </w:p>
    <w:tbl>
      <w:tblPr>
        <w:tblStyle w:val="TableGrid"/>
        <w:tblW w:w="0" w:type="auto"/>
        <w:jc w:val="center"/>
        <w:tblLook w:val="04A0" w:firstRow="1" w:lastRow="0" w:firstColumn="1" w:lastColumn="0" w:noHBand="0" w:noVBand="1"/>
      </w:tblPr>
      <w:tblGrid>
        <w:gridCol w:w="2426"/>
        <w:gridCol w:w="2393"/>
        <w:gridCol w:w="1403"/>
        <w:gridCol w:w="933"/>
        <w:gridCol w:w="2421"/>
      </w:tblGrid>
      <w:tr w:rsidR="008F20FF" w14:paraId="0CE98AF1" w14:textId="77777777">
        <w:trPr>
          <w:jc w:val="center"/>
        </w:trPr>
        <w:tc>
          <w:tcPr>
            <w:tcW w:w="2736" w:type="dxa"/>
            <w:shd w:val="clear" w:color="auto" w:fill="1F3864"/>
            <w:vAlign w:val="center"/>
          </w:tcPr>
          <w:p w14:paraId="5DAAEE21" w14:textId="77777777" w:rsidR="008F20FF" w:rsidRDefault="006E3843">
            <w:pPr>
              <w:jc w:val="center"/>
            </w:pPr>
            <w:r>
              <w:rPr>
                <w:rFonts w:ascii="Calibri" w:hAnsi="Calibri"/>
                <w:b/>
                <w:color w:val="FFFFFF"/>
                <w:sz w:val="19"/>
              </w:rPr>
              <w:t>Cost Center</w:t>
            </w:r>
          </w:p>
        </w:tc>
        <w:tc>
          <w:tcPr>
            <w:tcW w:w="2736" w:type="dxa"/>
            <w:shd w:val="clear" w:color="auto" w:fill="1F3864"/>
            <w:vAlign w:val="center"/>
          </w:tcPr>
          <w:p w14:paraId="017E48BA" w14:textId="77777777" w:rsidR="008F20FF" w:rsidRDefault="006E3843">
            <w:pPr>
              <w:jc w:val="center"/>
            </w:pPr>
            <w:r>
              <w:rPr>
                <w:rFonts w:ascii="Calibri" w:hAnsi="Calibri"/>
                <w:b/>
                <w:color w:val="FFFFFF"/>
                <w:sz w:val="19"/>
              </w:rPr>
              <w:t>Business Unit</w:t>
            </w:r>
          </w:p>
        </w:tc>
        <w:tc>
          <w:tcPr>
            <w:tcW w:w="1584" w:type="dxa"/>
            <w:shd w:val="clear" w:color="auto" w:fill="1F3864"/>
            <w:vAlign w:val="center"/>
          </w:tcPr>
          <w:p w14:paraId="64B8A7CA" w14:textId="77777777" w:rsidR="008F20FF" w:rsidRDefault="006E3843">
            <w:pPr>
              <w:jc w:val="center"/>
            </w:pPr>
            <w:r>
              <w:rPr>
                <w:rFonts w:ascii="Calibri" w:hAnsi="Calibri"/>
                <w:b/>
                <w:color w:val="FFFFFF"/>
                <w:sz w:val="19"/>
              </w:rPr>
              <w:t>5-Yr Spend</w:t>
            </w:r>
          </w:p>
        </w:tc>
        <w:tc>
          <w:tcPr>
            <w:tcW w:w="1008" w:type="dxa"/>
            <w:shd w:val="clear" w:color="auto" w:fill="1F3864"/>
            <w:vAlign w:val="center"/>
          </w:tcPr>
          <w:p w14:paraId="1B09CE46" w14:textId="77777777" w:rsidR="008F20FF" w:rsidRDefault="006E3843">
            <w:pPr>
              <w:jc w:val="center"/>
            </w:pPr>
            <w:r>
              <w:rPr>
                <w:rFonts w:ascii="Calibri" w:hAnsi="Calibri"/>
                <w:b/>
                <w:color w:val="FFFFFF"/>
                <w:sz w:val="19"/>
              </w:rPr>
              <w:t>% of BU</w:t>
            </w:r>
          </w:p>
        </w:tc>
        <w:tc>
          <w:tcPr>
            <w:tcW w:w="2880" w:type="dxa"/>
            <w:shd w:val="clear" w:color="auto" w:fill="1F3864"/>
            <w:vAlign w:val="center"/>
          </w:tcPr>
          <w:p w14:paraId="623B02DC" w14:textId="77777777" w:rsidR="008F20FF" w:rsidRDefault="006E3843">
            <w:pPr>
              <w:jc w:val="center"/>
            </w:pPr>
            <w:r>
              <w:rPr>
                <w:rFonts w:ascii="Calibri" w:hAnsi="Calibri"/>
                <w:b/>
                <w:color w:val="FFFFFF"/>
                <w:sz w:val="19"/>
              </w:rPr>
              <w:t>Finding</w:t>
            </w:r>
          </w:p>
        </w:tc>
      </w:tr>
      <w:tr w:rsidR="008F20FF" w14:paraId="6D337D11" w14:textId="77777777">
        <w:trPr>
          <w:jc w:val="center"/>
        </w:trPr>
        <w:tc>
          <w:tcPr>
            <w:tcW w:w="2736" w:type="dxa"/>
            <w:vAlign w:val="center"/>
          </w:tcPr>
          <w:p w14:paraId="7683EAEE" w14:textId="77777777" w:rsidR="008F20FF" w:rsidRDefault="006E3843">
            <w:r>
              <w:rPr>
                <w:rFonts w:ascii="Calibri" w:hAnsi="Calibri"/>
                <w:color w:val="404040"/>
                <w:sz w:val="19"/>
              </w:rPr>
              <w:t>AI Enablement</w:t>
            </w:r>
          </w:p>
        </w:tc>
        <w:tc>
          <w:tcPr>
            <w:tcW w:w="2736" w:type="dxa"/>
            <w:vAlign w:val="center"/>
          </w:tcPr>
          <w:p w14:paraId="3DD8B32F" w14:textId="77777777" w:rsidR="008F20FF" w:rsidRDefault="006E3843">
            <w:pPr>
              <w:jc w:val="right"/>
            </w:pPr>
            <w:r>
              <w:rPr>
                <w:rFonts w:ascii="Calibri" w:hAnsi="Calibri"/>
                <w:color w:val="404040"/>
                <w:sz w:val="19"/>
              </w:rPr>
              <w:t>Data &amp; Analytics</w:t>
            </w:r>
          </w:p>
        </w:tc>
        <w:tc>
          <w:tcPr>
            <w:tcW w:w="1584" w:type="dxa"/>
            <w:vAlign w:val="center"/>
          </w:tcPr>
          <w:p w14:paraId="3D5EDC54" w14:textId="77777777" w:rsidR="008F20FF" w:rsidRDefault="006E3843">
            <w:pPr>
              <w:jc w:val="right"/>
            </w:pPr>
            <w:r>
              <w:rPr>
                <w:rFonts w:ascii="Calibri" w:hAnsi="Calibri"/>
                <w:color w:val="404040"/>
                <w:sz w:val="19"/>
              </w:rPr>
              <w:t>$68.1M</w:t>
            </w:r>
          </w:p>
        </w:tc>
        <w:tc>
          <w:tcPr>
            <w:tcW w:w="1008" w:type="dxa"/>
            <w:vAlign w:val="center"/>
          </w:tcPr>
          <w:p w14:paraId="7B375C93" w14:textId="77777777" w:rsidR="008F20FF" w:rsidRDefault="006E3843">
            <w:pPr>
              <w:jc w:val="right"/>
            </w:pPr>
            <w:r>
              <w:rPr>
                <w:rFonts w:ascii="Calibri" w:hAnsi="Calibri"/>
                <w:color w:val="404040"/>
                <w:sz w:val="19"/>
              </w:rPr>
              <w:t>56.7%</w:t>
            </w:r>
          </w:p>
        </w:tc>
        <w:tc>
          <w:tcPr>
            <w:tcW w:w="2880" w:type="dxa"/>
            <w:vAlign w:val="center"/>
          </w:tcPr>
          <w:p w14:paraId="15E78058" w14:textId="77777777" w:rsidR="008F20FF" w:rsidRDefault="006E3843">
            <w:pPr>
              <w:jc w:val="right"/>
            </w:pPr>
            <w:r>
              <w:rPr>
                <w:rFonts w:ascii="Calibri" w:hAnsi="Calibri"/>
                <w:color w:val="404040"/>
                <w:sz w:val="19"/>
              </w:rPr>
              <w:t>Over half the D&amp;A budget in one CC</w:t>
            </w:r>
          </w:p>
        </w:tc>
      </w:tr>
      <w:tr w:rsidR="008F20FF" w14:paraId="09E36369" w14:textId="77777777">
        <w:trPr>
          <w:jc w:val="center"/>
        </w:trPr>
        <w:tc>
          <w:tcPr>
            <w:tcW w:w="2736" w:type="dxa"/>
            <w:shd w:val="clear" w:color="auto" w:fill="EBF1F9"/>
            <w:vAlign w:val="center"/>
          </w:tcPr>
          <w:p w14:paraId="6B51F1DB" w14:textId="77777777" w:rsidR="008F20FF" w:rsidRDefault="006E3843">
            <w:r>
              <w:rPr>
                <w:rFonts w:ascii="Calibri" w:hAnsi="Calibri"/>
                <w:color w:val="404040"/>
                <w:sz w:val="19"/>
              </w:rPr>
              <w:t>HR Applications</w:t>
            </w:r>
          </w:p>
        </w:tc>
        <w:tc>
          <w:tcPr>
            <w:tcW w:w="2736" w:type="dxa"/>
            <w:shd w:val="clear" w:color="auto" w:fill="EBF1F9"/>
            <w:vAlign w:val="center"/>
          </w:tcPr>
          <w:p w14:paraId="41B841FD" w14:textId="77777777" w:rsidR="008F20FF" w:rsidRDefault="006E3843">
            <w:pPr>
              <w:jc w:val="right"/>
            </w:pPr>
            <w:r>
              <w:rPr>
                <w:rFonts w:ascii="Calibri" w:hAnsi="Calibri"/>
                <w:color w:val="404040"/>
                <w:sz w:val="19"/>
              </w:rPr>
              <w:t>Corporate Applications</w:t>
            </w:r>
          </w:p>
        </w:tc>
        <w:tc>
          <w:tcPr>
            <w:tcW w:w="1584" w:type="dxa"/>
            <w:shd w:val="clear" w:color="auto" w:fill="EBF1F9"/>
            <w:vAlign w:val="center"/>
          </w:tcPr>
          <w:p w14:paraId="54C8623F" w14:textId="77777777" w:rsidR="008F20FF" w:rsidRDefault="006E3843">
            <w:pPr>
              <w:jc w:val="right"/>
            </w:pPr>
            <w:r>
              <w:rPr>
                <w:rFonts w:ascii="Calibri" w:hAnsi="Calibri"/>
                <w:color w:val="404040"/>
                <w:sz w:val="19"/>
              </w:rPr>
              <w:t>$65.5M</w:t>
            </w:r>
          </w:p>
        </w:tc>
        <w:tc>
          <w:tcPr>
            <w:tcW w:w="1008" w:type="dxa"/>
            <w:shd w:val="clear" w:color="auto" w:fill="EBF1F9"/>
            <w:vAlign w:val="center"/>
          </w:tcPr>
          <w:p w14:paraId="266DF4D6" w14:textId="77777777" w:rsidR="008F20FF" w:rsidRDefault="006E3843">
            <w:pPr>
              <w:jc w:val="right"/>
            </w:pPr>
            <w:r>
              <w:rPr>
                <w:rFonts w:ascii="Calibri" w:hAnsi="Calibri"/>
                <w:color w:val="404040"/>
                <w:sz w:val="19"/>
              </w:rPr>
              <w:t>50.1%</w:t>
            </w:r>
          </w:p>
        </w:tc>
        <w:tc>
          <w:tcPr>
            <w:tcW w:w="2880" w:type="dxa"/>
            <w:shd w:val="clear" w:color="auto" w:fill="EBF1F9"/>
            <w:vAlign w:val="center"/>
          </w:tcPr>
          <w:p w14:paraId="6356896F" w14:textId="77777777" w:rsidR="008F20FF" w:rsidRDefault="006E3843">
            <w:pPr>
              <w:jc w:val="right"/>
            </w:pPr>
            <w:r>
              <w:rPr>
                <w:rFonts w:ascii="Calibri" w:hAnsi="Calibri"/>
                <w:color w:val="404040"/>
                <w:sz w:val="19"/>
              </w:rPr>
              <w:t>Half of Corp Apps in one system</w:t>
            </w:r>
          </w:p>
        </w:tc>
      </w:tr>
      <w:tr w:rsidR="008F20FF" w14:paraId="596C2C57" w14:textId="77777777">
        <w:trPr>
          <w:jc w:val="center"/>
        </w:trPr>
        <w:tc>
          <w:tcPr>
            <w:tcW w:w="2736" w:type="dxa"/>
            <w:vAlign w:val="center"/>
          </w:tcPr>
          <w:p w14:paraId="73695ED3" w14:textId="77777777" w:rsidR="008F20FF" w:rsidRDefault="006E3843">
            <w:r>
              <w:rPr>
                <w:rFonts w:ascii="Calibri" w:hAnsi="Calibri"/>
                <w:color w:val="404040"/>
                <w:sz w:val="19"/>
              </w:rPr>
              <w:t>ERP Transformation</w:t>
            </w:r>
          </w:p>
        </w:tc>
        <w:tc>
          <w:tcPr>
            <w:tcW w:w="2736" w:type="dxa"/>
            <w:vAlign w:val="center"/>
          </w:tcPr>
          <w:p w14:paraId="2C67C0E3" w14:textId="77777777" w:rsidR="008F20FF" w:rsidRDefault="006E3843">
            <w:pPr>
              <w:jc w:val="right"/>
            </w:pPr>
            <w:r>
              <w:rPr>
                <w:rFonts w:ascii="Calibri" w:hAnsi="Calibri"/>
                <w:color w:val="404040"/>
                <w:sz w:val="19"/>
              </w:rPr>
              <w:t xml:space="preserve">Corporate </w:t>
            </w:r>
            <w:r>
              <w:rPr>
                <w:rFonts w:ascii="Calibri" w:hAnsi="Calibri"/>
                <w:color w:val="404040"/>
                <w:sz w:val="19"/>
              </w:rPr>
              <w:t>Applications</w:t>
            </w:r>
          </w:p>
        </w:tc>
        <w:tc>
          <w:tcPr>
            <w:tcW w:w="1584" w:type="dxa"/>
            <w:vAlign w:val="center"/>
          </w:tcPr>
          <w:p w14:paraId="235F7E3D" w14:textId="77777777" w:rsidR="008F20FF" w:rsidRDefault="006E3843">
            <w:pPr>
              <w:jc w:val="right"/>
            </w:pPr>
            <w:r>
              <w:rPr>
                <w:rFonts w:ascii="Calibri" w:hAnsi="Calibri"/>
                <w:color w:val="404040"/>
                <w:sz w:val="19"/>
              </w:rPr>
              <w:t>$65.4M</w:t>
            </w:r>
          </w:p>
        </w:tc>
        <w:tc>
          <w:tcPr>
            <w:tcW w:w="1008" w:type="dxa"/>
            <w:vAlign w:val="center"/>
          </w:tcPr>
          <w:p w14:paraId="217A9F5D" w14:textId="77777777" w:rsidR="008F20FF" w:rsidRDefault="006E3843">
            <w:pPr>
              <w:jc w:val="right"/>
            </w:pPr>
            <w:r>
              <w:rPr>
                <w:rFonts w:ascii="Calibri" w:hAnsi="Calibri"/>
                <w:color w:val="404040"/>
                <w:sz w:val="19"/>
              </w:rPr>
              <w:t>50.0%</w:t>
            </w:r>
          </w:p>
        </w:tc>
        <w:tc>
          <w:tcPr>
            <w:tcW w:w="2880" w:type="dxa"/>
            <w:vAlign w:val="center"/>
          </w:tcPr>
          <w:p w14:paraId="784064E9" w14:textId="77777777" w:rsidR="008F20FF" w:rsidRDefault="006E3843">
            <w:pPr>
              <w:jc w:val="right"/>
            </w:pPr>
            <w:r>
              <w:rPr>
                <w:rFonts w:ascii="Calibri" w:hAnsi="Calibri"/>
                <w:color w:val="404040"/>
                <w:sz w:val="19"/>
              </w:rPr>
              <w:t>ERP and HR absorb entire budget</w:t>
            </w:r>
          </w:p>
        </w:tc>
      </w:tr>
      <w:tr w:rsidR="008F20FF" w14:paraId="2C2D154A" w14:textId="77777777">
        <w:trPr>
          <w:jc w:val="center"/>
        </w:trPr>
        <w:tc>
          <w:tcPr>
            <w:tcW w:w="2736" w:type="dxa"/>
            <w:shd w:val="clear" w:color="auto" w:fill="EBF1F9"/>
            <w:vAlign w:val="center"/>
          </w:tcPr>
          <w:p w14:paraId="25EDDC73" w14:textId="77777777" w:rsidR="008F20FF" w:rsidRDefault="006E3843">
            <w:r>
              <w:rPr>
                <w:rFonts w:ascii="Calibri" w:hAnsi="Calibri"/>
                <w:color w:val="404040"/>
                <w:sz w:val="19"/>
              </w:rPr>
              <w:lastRenderedPageBreak/>
              <w:t>Security Operations Center</w:t>
            </w:r>
          </w:p>
        </w:tc>
        <w:tc>
          <w:tcPr>
            <w:tcW w:w="2736" w:type="dxa"/>
            <w:shd w:val="clear" w:color="auto" w:fill="EBF1F9"/>
            <w:vAlign w:val="center"/>
          </w:tcPr>
          <w:p w14:paraId="312EEF43" w14:textId="77777777" w:rsidR="008F20FF" w:rsidRDefault="006E3843">
            <w:pPr>
              <w:jc w:val="right"/>
            </w:pPr>
            <w:r>
              <w:rPr>
                <w:rFonts w:ascii="Calibri" w:hAnsi="Calibri"/>
                <w:color w:val="404040"/>
                <w:sz w:val="19"/>
              </w:rPr>
              <w:t>Cybersecurity &amp; Risk</w:t>
            </w:r>
          </w:p>
        </w:tc>
        <w:tc>
          <w:tcPr>
            <w:tcW w:w="1584" w:type="dxa"/>
            <w:shd w:val="clear" w:color="auto" w:fill="EBF1F9"/>
            <w:vAlign w:val="center"/>
          </w:tcPr>
          <w:p w14:paraId="709D9BC1" w14:textId="77777777" w:rsidR="008F20FF" w:rsidRDefault="006E3843">
            <w:pPr>
              <w:jc w:val="right"/>
            </w:pPr>
            <w:r>
              <w:rPr>
                <w:rFonts w:ascii="Calibri" w:hAnsi="Calibri"/>
                <w:color w:val="404040"/>
                <w:sz w:val="19"/>
              </w:rPr>
              <w:t>$47.1M</w:t>
            </w:r>
          </w:p>
        </w:tc>
        <w:tc>
          <w:tcPr>
            <w:tcW w:w="1008" w:type="dxa"/>
            <w:shd w:val="clear" w:color="auto" w:fill="EBF1F9"/>
            <w:vAlign w:val="center"/>
          </w:tcPr>
          <w:p w14:paraId="696D20B7" w14:textId="77777777" w:rsidR="008F20FF" w:rsidRDefault="006E3843">
            <w:pPr>
              <w:jc w:val="right"/>
            </w:pPr>
            <w:r>
              <w:rPr>
                <w:rFonts w:ascii="Calibri" w:hAnsi="Calibri"/>
                <w:color w:val="404040"/>
                <w:sz w:val="19"/>
              </w:rPr>
              <w:t>50.5%</w:t>
            </w:r>
          </w:p>
        </w:tc>
        <w:tc>
          <w:tcPr>
            <w:tcW w:w="2880" w:type="dxa"/>
            <w:shd w:val="clear" w:color="auto" w:fill="EBF1F9"/>
            <w:vAlign w:val="center"/>
          </w:tcPr>
          <w:p w14:paraId="1A8CF203" w14:textId="77777777" w:rsidR="008F20FF" w:rsidRDefault="006E3843">
            <w:pPr>
              <w:jc w:val="right"/>
            </w:pPr>
            <w:r>
              <w:rPr>
                <w:rFonts w:ascii="Calibri" w:hAnsi="Calibri"/>
                <w:color w:val="404040"/>
                <w:sz w:val="19"/>
              </w:rPr>
              <w:t>SOC/IAM nearly equal split</w:t>
            </w:r>
          </w:p>
        </w:tc>
      </w:tr>
      <w:tr w:rsidR="008F20FF" w14:paraId="0B1FC024" w14:textId="77777777">
        <w:trPr>
          <w:jc w:val="center"/>
        </w:trPr>
        <w:tc>
          <w:tcPr>
            <w:tcW w:w="2736" w:type="dxa"/>
            <w:vAlign w:val="center"/>
          </w:tcPr>
          <w:p w14:paraId="58967433" w14:textId="77777777" w:rsidR="008F20FF" w:rsidRDefault="006E3843">
            <w:r>
              <w:rPr>
                <w:rFonts w:ascii="Calibri" w:hAnsi="Calibri"/>
                <w:color w:val="404040"/>
                <w:sz w:val="19"/>
              </w:rPr>
              <w:t>Customer Experience Plat.</w:t>
            </w:r>
          </w:p>
        </w:tc>
        <w:tc>
          <w:tcPr>
            <w:tcW w:w="2736" w:type="dxa"/>
            <w:vAlign w:val="center"/>
          </w:tcPr>
          <w:p w14:paraId="1EF4AAD6" w14:textId="77777777" w:rsidR="008F20FF" w:rsidRDefault="006E3843">
            <w:pPr>
              <w:jc w:val="right"/>
            </w:pPr>
            <w:r>
              <w:rPr>
                <w:rFonts w:ascii="Calibri" w:hAnsi="Calibri"/>
                <w:color w:val="404040"/>
                <w:sz w:val="19"/>
              </w:rPr>
              <w:t>Digital Platforms</w:t>
            </w:r>
          </w:p>
        </w:tc>
        <w:tc>
          <w:tcPr>
            <w:tcW w:w="1584" w:type="dxa"/>
            <w:vAlign w:val="center"/>
          </w:tcPr>
          <w:p w14:paraId="2B4A9335" w14:textId="77777777" w:rsidR="008F20FF" w:rsidRDefault="006E3843">
            <w:pPr>
              <w:jc w:val="right"/>
            </w:pPr>
            <w:r>
              <w:rPr>
                <w:rFonts w:ascii="Calibri" w:hAnsi="Calibri"/>
                <w:color w:val="404040"/>
                <w:sz w:val="19"/>
              </w:rPr>
              <w:t>$74.1M</w:t>
            </w:r>
          </w:p>
        </w:tc>
        <w:tc>
          <w:tcPr>
            <w:tcW w:w="1008" w:type="dxa"/>
            <w:vAlign w:val="center"/>
          </w:tcPr>
          <w:p w14:paraId="66FE2C52" w14:textId="77777777" w:rsidR="008F20FF" w:rsidRDefault="006E3843">
            <w:pPr>
              <w:jc w:val="right"/>
            </w:pPr>
            <w:r>
              <w:rPr>
                <w:rFonts w:ascii="Calibri" w:hAnsi="Calibri"/>
                <w:color w:val="404040"/>
                <w:sz w:val="19"/>
              </w:rPr>
              <w:t>38.9%</w:t>
            </w:r>
          </w:p>
        </w:tc>
        <w:tc>
          <w:tcPr>
            <w:tcW w:w="2880" w:type="dxa"/>
            <w:vAlign w:val="center"/>
          </w:tcPr>
          <w:p w14:paraId="3FF73E59" w14:textId="77777777" w:rsidR="008F20FF" w:rsidRDefault="006E3843">
            <w:pPr>
              <w:jc w:val="right"/>
            </w:pPr>
            <w:r>
              <w:rPr>
                <w:rFonts w:ascii="Calibri" w:hAnsi="Calibri"/>
                <w:color w:val="404040"/>
                <w:sz w:val="19"/>
              </w:rPr>
              <w:t>Largest single CC in portfolio</w:t>
            </w:r>
          </w:p>
        </w:tc>
      </w:tr>
    </w:tbl>
    <w:p w14:paraId="5C1AD674" w14:textId="77777777" w:rsidR="008F20FF" w:rsidRDefault="008F20FF"/>
    <w:p w14:paraId="0CA214E2" w14:textId="77777777" w:rsidR="008F20FF" w:rsidRDefault="006E3843">
      <w:r>
        <w:br w:type="page"/>
      </w:r>
    </w:p>
    <w:p w14:paraId="4107D56D" w14:textId="77777777" w:rsidR="008F20FF" w:rsidRDefault="006E3843">
      <w:pPr>
        <w:shd w:val="clear" w:color="auto" w:fill="1F3864"/>
        <w:spacing w:before="280" w:after="80"/>
      </w:pPr>
      <w:r>
        <w:rPr>
          <w:rFonts w:ascii="Calibri" w:hAnsi="Calibri"/>
          <w:b/>
          <w:color w:val="FFFFFF"/>
          <w:sz w:val="26"/>
        </w:rPr>
        <w:lastRenderedPageBreak/>
        <w:t xml:space="preserve">  6.  Recommendations</w:t>
      </w:r>
    </w:p>
    <w:p w14:paraId="6493A0B2" w14:textId="77777777" w:rsidR="008F20FF" w:rsidRDefault="008F20FF">
      <w:pPr>
        <w:spacing w:after="120"/>
      </w:pPr>
    </w:p>
    <w:p w14:paraId="0E88AE4D" w14:textId="77777777" w:rsidR="008F20FF" w:rsidRDefault="006E3843">
      <w:pPr>
        <w:pBdr>
          <w:left w:val="single" w:sz="16" w:space="4" w:color="1F3864"/>
        </w:pBdr>
        <w:shd w:val="clear" w:color="auto" w:fill="DCE6F1"/>
        <w:spacing w:before="160" w:after="160"/>
        <w:ind w:left="432" w:right="432"/>
      </w:pPr>
      <w:r>
        <w:rPr>
          <w:rFonts w:ascii="Calibri" w:hAnsi="Calibri"/>
          <w:i/>
          <w:color w:val="1F3864"/>
          <w:sz w:val="21"/>
        </w:rPr>
        <w:t xml:space="preserve">Governance prerequisite:  Establish a Quarterly IT Finance Review Board (CIO, CFO, all BU leads). This dashboard and analysis becomes the standing reporting baseline. Without a governance structure, findings age and savings </w:t>
      </w:r>
      <w:r>
        <w:rPr>
          <w:rFonts w:ascii="Calibri" w:hAnsi="Calibri"/>
          <w:i/>
          <w:color w:val="1F3864"/>
          <w:sz w:val="21"/>
        </w:rPr>
        <w:t>opportunities are not captured.</w:t>
      </w:r>
    </w:p>
    <w:p w14:paraId="2C936716" w14:textId="77777777" w:rsidR="008F20FF" w:rsidRDefault="006E3843">
      <w:pPr>
        <w:pBdr>
          <w:bottom w:val="single" w:sz="4" w:space="1" w:color="2F5597"/>
        </w:pBdr>
        <w:spacing w:before="200" w:after="60"/>
      </w:pPr>
      <w:r>
        <w:rPr>
          <w:rFonts w:ascii="Calibri" w:hAnsi="Calibri"/>
          <w:b/>
          <w:color w:val="1F3864"/>
        </w:rPr>
        <w:t>Immediate Actions (0–90 Days)</w:t>
      </w:r>
    </w:p>
    <w:p w14:paraId="2DE689CA" w14:textId="77777777" w:rsidR="008F20FF" w:rsidRDefault="006E3843">
      <w:pPr>
        <w:spacing w:before="120" w:after="40"/>
      </w:pPr>
      <w:r>
        <w:rPr>
          <w:rFonts w:ascii="Calibri" w:hAnsi="Calibri"/>
          <w:b/>
          <w:color w:val="1F3864"/>
        </w:rPr>
        <w:t xml:space="preserve">Vendor Consolidation Initiative  </w:t>
      </w:r>
      <w:r>
        <w:rPr>
          <w:rFonts w:ascii="Calibri" w:hAnsi="Calibri"/>
          <w:b/>
          <w:color w:val="375623"/>
          <w:sz w:val="20"/>
        </w:rPr>
        <w:t>[ $26M–$40M ]</w:t>
      </w:r>
    </w:p>
    <w:p w14:paraId="0040D936" w14:textId="77777777" w:rsidR="008F20FF" w:rsidRDefault="006E3843">
      <w:pPr>
        <w:spacing w:after="160"/>
      </w:pPr>
      <w:r>
        <w:rPr>
          <w:rFonts w:ascii="Calibri" w:hAnsi="Calibri"/>
          <w:sz w:val="21"/>
        </w:rPr>
        <w:t>Assign a procurement lead to engage Cisco, HP Enterprise, Dell, NetApp, and Lenovo for bundled multi-year contract renegotiation. Combined spend = $333.6M. An 8–12% discount via volume commitment is achievable within one negotiation cycle. This is the single highest-ROI action in the dataset.</w:t>
      </w:r>
    </w:p>
    <w:p w14:paraId="52D9A364" w14:textId="77777777" w:rsidR="008F20FF" w:rsidRDefault="006E3843">
      <w:pPr>
        <w:spacing w:before="120" w:after="40"/>
      </w:pPr>
      <w:r>
        <w:rPr>
          <w:rFonts w:ascii="Calibri" w:hAnsi="Calibri"/>
          <w:b/>
          <w:color w:val="1F3864"/>
        </w:rPr>
        <w:t xml:space="preserve">Cloud Spend Audit  </w:t>
      </w:r>
      <w:r>
        <w:rPr>
          <w:rFonts w:ascii="Calibri" w:hAnsi="Calibri"/>
          <w:b/>
          <w:color w:val="375623"/>
          <w:sz w:val="20"/>
        </w:rPr>
        <w:t>[ ~$27M potential ]</w:t>
      </w:r>
    </w:p>
    <w:p w14:paraId="025E04B5" w14:textId="77777777" w:rsidR="008F20FF" w:rsidRDefault="006E3843">
      <w:pPr>
        <w:spacing w:after="160"/>
      </w:pPr>
      <w:r>
        <w:rPr>
          <w:rFonts w:ascii="Calibri" w:hAnsi="Calibri"/>
          <w:sz w:val="21"/>
        </w:rPr>
        <w:t>Commission a detailed audit of the $184.7M cloud portfolio across 5 providers. Objective: determine whether the 7.4% decline represents optimization or underinvestment. Right-size compute, eliminate idle resources, and rationalize provider overlap.</w:t>
      </w:r>
    </w:p>
    <w:p w14:paraId="6BE7394A" w14:textId="77777777" w:rsidR="008F20FF" w:rsidRDefault="006E3843">
      <w:pPr>
        <w:pBdr>
          <w:bottom w:val="single" w:sz="4" w:space="1" w:color="2F5597"/>
        </w:pBdr>
        <w:spacing w:before="200" w:after="60"/>
      </w:pPr>
      <w:r>
        <w:rPr>
          <w:rFonts w:ascii="Calibri" w:hAnsi="Calibri"/>
          <w:b/>
          <w:color w:val="1F3864"/>
        </w:rPr>
        <w:t>Short-Term Actions (90–180 Days)</w:t>
      </w:r>
    </w:p>
    <w:p w14:paraId="208DCC2A" w14:textId="77777777" w:rsidR="008F20FF" w:rsidRDefault="006E3843">
      <w:pPr>
        <w:spacing w:before="120" w:after="40"/>
      </w:pPr>
      <w:r>
        <w:rPr>
          <w:rFonts w:ascii="Calibri" w:hAnsi="Calibri"/>
          <w:b/>
          <w:color w:val="1F3864"/>
        </w:rPr>
        <w:t xml:space="preserve">Cybersecurity Budget Review  </w:t>
      </w:r>
      <w:r>
        <w:rPr>
          <w:rFonts w:ascii="Calibri" w:hAnsi="Calibri"/>
          <w:b/>
          <w:color w:val="375623"/>
          <w:sz w:val="20"/>
        </w:rPr>
        <w:t>[ Risk mitigation ]</w:t>
      </w:r>
    </w:p>
    <w:p w14:paraId="7ADE309C" w14:textId="77777777" w:rsidR="008F20FF" w:rsidRDefault="006E3843">
      <w:pPr>
        <w:spacing w:after="160"/>
      </w:pPr>
      <w:r>
        <w:rPr>
          <w:rFonts w:ascii="Calibri" w:hAnsi="Calibri"/>
          <w:sz w:val="21"/>
        </w:rPr>
        <w:t>Present a board-level business case to increase Cybersecurity &amp; Risk from 13.6% to 15% of IT budget — an additional $1.9M/year. Frame it in threat-landscape terms, not just percentage benchmarks. Leah McIntyre (CISO) should lead the presentation.</w:t>
      </w:r>
    </w:p>
    <w:p w14:paraId="38FBCA35" w14:textId="77777777" w:rsidR="008F20FF" w:rsidRDefault="006E3843">
      <w:pPr>
        <w:spacing w:before="120" w:after="40"/>
      </w:pPr>
      <w:r>
        <w:rPr>
          <w:rFonts w:ascii="Calibri" w:hAnsi="Calibri"/>
          <w:b/>
          <w:color w:val="1F3864"/>
        </w:rPr>
        <w:t xml:space="preserve">Software License Audit  </w:t>
      </w:r>
      <w:r>
        <w:rPr>
          <w:rFonts w:ascii="Calibri" w:hAnsi="Calibri"/>
          <w:b/>
          <w:color w:val="375623"/>
          <w:sz w:val="20"/>
        </w:rPr>
        <w:t>[ ~$10M ]</w:t>
      </w:r>
    </w:p>
    <w:p w14:paraId="2E891EB5" w14:textId="77777777" w:rsidR="008F20FF" w:rsidRDefault="006E3843">
      <w:pPr>
        <w:spacing w:after="160"/>
      </w:pPr>
      <w:r>
        <w:rPr>
          <w:rFonts w:ascii="Calibri" w:hAnsi="Calibri"/>
          <w:sz w:val="21"/>
        </w:rPr>
        <w:t>Audit the $101.1M software portfolio for unused licenses, duplicate tools, and renewal timing. SaaS sprawl is the most common source of untracked IT waste. CDW ($26.8M) is the most likely vehicle for license consolidation.</w:t>
      </w:r>
    </w:p>
    <w:p w14:paraId="5D6BDC38" w14:textId="77777777" w:rsidR="008F20FF" w:rsidRDefault="006E3843">
      <w:pPr>
        <w:pBdr>
          <w:bottom w:val="single" w:sz="4" w:space="1" w:color="2F5597"/>
        </w:pBdr>
        <w:spacing w:before="200" w:after="60"/>
      </w:pPr>
      <w:r>
        <w:rPr>
          <w:rFonts w:ascii="Calibri" w:hAnsi="Calibri"/>
          <w:b/>
          <w:color w:val="1F3864"/>
        </w:rPr>
        <w:t>Medium-Term Actions (6–12 Months)</w:t>
      </w:r>
    </w:p>
    <w:p w14:paraId="0DEC41B7" w14:textId="77777777" w:rsidR="008F20FF" w:rsidRDefault="006E3843">
      <w:pPr>
        <w:spacing w:before="120" w:after="40"/>
      </w:pPr>
      <w:r>
        <w:rPr>
          <w:rFonts w:ascii="Calibri" w:hAnsi="Calibri"/>
          <w:b/>
          <w:color w:val="1F3864"/>
        </w:rPr>
        <w:t xml:space="preserve">Zero-Based Project Budgeting  </w:t>
      </w:r>
      <w:r>
        <w:rPr>
          <w:rFonts w:ascii="Calibri" w:hAnsi="Calibri"/>
          <w:b/>
          <w:color w:val="4472C4"/>
          <w:sz w:val="20"/>
        </w:rPr>
        <w:t>[ $5M–$10M reallocation ]</w:t>
      </w:r>
    </w:p>
    <w:p w14:paraId="3BA1B623" w14:textId="77777777" w:rsidR="008F20FF" w:rsidRDefault="006E3843">
      <w:pPr>
        <w:spacing w:after="160"/>
      </w:pPr>
      <w:r>
        <w:rPr>
          <w:rFonts w:ascii="Calibri" w:hAnsi="Calibri"/>
          <w:sz w:val="21"/>
        </w:rPr>
        <w:t>The $49M project ceiling is a budgeting artifact. For FY2027 planning, require each BU to justify project spend from zero against strategic outcomes. This will surface low-return projects consuming budget at the expense of higher-return programs.</w:t>
      </w:r>
    </w:p>
    <w:p w14:paraId="45D54072" w14:textId="77777777" w:rsidR="008F20FF" w:rsidRDefault="006E3843">
      <w:pPr>
        <w:spacing w:before="120" w:after="40"/>
      </w:pPr>
      <w:r>
        <w:rPr>
          <w:rFonts w:ascii="Calibri" w:hAnsi="Calibri"/>
          <w:b/>
          <w:color w:val="1F3864"/>
        </w:rPr>
        <w:t xml:space="preserve">AI Investment Governance  </w:t>
      </w:r>
      <w:r>
        <w:rPr>
          <w:rFonts w:ascii="Calibri" w:hAnsi="Calibri"/>
          <w:b/>
          <w:color w:val="4472C4"/>
          <w:sz w:val="20"/>
        </w:rPr>
        <w:t>[ ROI accountability ]</w:t>
      </w:r>
    </w:p>
    <w:p w14:paraId="21162630" w14:textId="77777777" w:rsidR="008F20FF" w:rsidRDefault="006E3843">
      <w:pPr>
        <w:spacing w:after="160"/>
      </w:pPr>
      <w:r>
        <w:rPr>
          <w:rFonts w:ascii="Calibri" w:hAnsi="Calibri"/>
          <w:sz w:val="21"/>
        </w:rPr>
        <w:t>AI Enablement at $68.1M (56.7% of D&amp;A budget) is a significant concentration. Establish an AI portfolio review board under Victor Ramsey (CDO) with quarterly ROI reporting. Ensure that AI investment at this scale has measurable business outcome accountability.</w:t>
      </w:r>
    </w:p>
    <w:p w14:paraId="69C3D1EE" w14:textId="77777777" w:rsidR="008F20FF" w:rsidRDefault="006E3843">
      <w:r>
        <w:br w:type="page"/>
      </w:r>
    </w:p>
    <w:p w14:paraId="18599724" w14:textId="77777777" w:rsidR="008F20FF" w:rsidRDefault="006E3843">
      <w:pPr>
        <w:shd w:val="clear" w:color="auto" w:fill="1F3864"/>
        <w:spacing w:before="280" w:after="80"/>
      </w:pPr>
      <w:r>
        <w:rPr>
          <w:rFonts w:ascii="Calibri" w:hAnsi="Calibri"/>
          <w:b/>
          <w:color w:val="FFFFFF"/>
          <w:sz w:val="26"/>
        </w:rPr>
        <w:lastRenderedPageBreak/>
        <w:t xml:space="preserve">  7.  What This Project Proves</w:t>
      </w:r>
    </w:p>
    <w:p w14:paraId="40080756" w14:textId="77777777" w:rsidR="008F20FF" w:rsidRDefault="008F20FF">
      <w:pPr>
        <w:spacing w:after="160"/>
      </w:pPr>
    </w:p>
    <w:p w14:paraId="0F0E3E1E" w14:textId="77777777" w:rsidR="008F20FF" w:rsidRDefault="006E3843">
      <w:r>
        <w:rPr>
          <w:rFonts w:ascii="Calibri" w:hAnsi="Calibri"/>
          <w:sz w:val="21"/>
        </w:rPr>
        <w:t>A Senior Financial Analyst or BI Analyst role requires more than technical execution — it requires translating raw numbers into financial governance. This project demonstrates that capability end-to-end: raw data in, executive intelligence out.</w:t>
      </w:r>
    </w:p>
    <w:p w14:paraId="3071D081" w14:textId="77777777" w:rsidR="008F20FF" w:rsidRDefault="006E3843">
      <w:pPr>
        <w:spacing w:before="160" w:after="40"/>
      </w:pPr>
      <w:r>
        <w:rPr>
          <w:rFonts w:ascii="Calibri" w:hAnsi="Calibri"/>
          <w:b/>
          <w:color w:val="1F3864"/>
        </w:rPr>
        <w:t>1.  Financial Data Modeling</w:t>
      </w:r>
    </w:p>
    <w:p w14:paraId="1958A2E8" w14:textId="77777777" w:rsidR="008F20FF" w:rsidRDefault="006E3843">
      <w:pPr>
        <w:spacing w:after="120"/>
      </w:pPr>
      <w:r>
        <w:rPr>
          <w:rFonts w:ascii="Calibri" w:hAnsi="Calibri"/>
          <w:sz w:val="21"/>
        </w:rPr>
        <w:t xml:space="preserve">19,884 </w:t>
      </w:r>
      <w:r>
        <w:rPr>
          <w:rFonts w:ascii="Calibri" w:hAnsi="Calibri"/>
          <w:sz w:val="21"/>
        </w:rPr>
        <w:t>transactions aggregated across seven analytical dimensions. Project/Run classification built from raw Spend Type data. CAGR, YoY delta, concentration ratios — all formula-driven, not hardcoded.</w:t>
      </w:r>
    </w:p>
    <w:p w14:paraId="786E610A" w14:textId="77777777" w:rsidR="008F20FF" w:rsidRDefault="006E3843">
      <w:pPr>
        <w:spacing w:before="160" w:after="40"/>
      </w:pPr>
      <w:r>
        <w:rPr>
          <w:rFonts w:ascii="Calibri" w:hAnsi="Calibri"/>
          <w:b/>
          <w:color w:val="1F3864"/>
        </w:rPr>
        <w:t>2.  Dashboard Architecture</w:t>
      </w:r>
    </w:p>
    <w:p w14:paraId="3D8DB6C4" w14:textId="77777777" w:rsidR="008F20FF" w:rsidRDefault="006E3843">
      <w:pPr>
        <w:spacing w:after="120"/>
      </w:pPr>
      <w:r>
        <w:rPr>
          <w:rFonts w:ascii="Calibri" w:hAnsi="Calibri"/>
          <w:sz w:val="21"/>
        </w:rPr>
        <w:t>Seven-tab Excel workbook designed for three distinct audiences (CIO, CFO, Finance team). Real openpyxl chart objects — not table approximations. Conditional formatting, data bars, and color-scale rules applied correctly.</w:t>
      </w:r>
    </w:p>
    <w:p w14:paraId="00A95A0B" w14:textId="77777777" w:rsidR="008F20FF" w:rsidRDefault="006E3843">
      <w:pPr>
        <w:spacing w:before="160" w:after="40"/>
      </w:pPr>
      <w:r>
        <w:rPr>
          <w:rFonts w:ascii="Calibri" w:hAnsi="Calibri"/>
          <w:b/>
          <w:color w:val="1F3864"/>
        </w:rPr>
        <w:t>3.  Executive Communication</w:t>
      </w:r>
    </w:p>
    <w:p w14:paraId="7BF00D7E" w14:textId="77777777" w:rsidR="008F20FF" w:rsidRDefault="006E3843">
      <w:pPr>
        <w:spacing w:after="120"/>
      </w:pPr>
      <w:r>
        <w:rPr>
          <w:rFonts w:ascii="Calibri" w:hAnsi="Calibri"/>
          <w:sz w:val="21"/>
        </w:rPr>
        <w:t>Thirteen slides that tell a business story, not a data story. Each slide answers one question a CIO or CFO would actually ask. Risk/savings framing that translates findings into decisions.</w:t>
      </w:r>
    </w:p>
    <w:p w14:paraId="43428F23" w14:textId="77777777" w:rsidR="008F20FF" w:rsidRDefault="006E3843">
      <w:pPr>
        <w:spacing w:before="160" w:after="40"/>
      </w:pPr>
      <w:r>
        <w:rPr>
          <w:rFonts w:ascii="Calibri" w:hAnsi="Calibri"/>
          <w:b/>
          <w:color w:val="1F3864"/>
        </w:rPr>
        <w:t>4.  Analytical Depth</w:t>
      </w:r>
    </w:p>
    <w:p w14:paraId="6B7A1A8A" w14:textId="77777777" w:rsidR="008F20FF" w:rsidRDefault="006E3843">
      <w:pPr>
        <w:spacing w:after="120"/>
      </w:pPr>
      <w:r>
        <w:rPr>
          <w:rFonts w:ascii="Calibri" w:hAnsi="Calibri"/>
          <w:sz w:val="21"/>
        </w:rPr>
        <w:t>Vendor concentration identified and quantified at 48.6%. Project spend ceiling identified as structural (not behavioral) from five years of flat data. Cloud decline characterized as ambiguous — two interpretations offered, not one assumed.</w:t>
      </w:r>
    </w:p>
    <w:p w14:paraId="4658FE64" w14:textId="77777777" w:rsidR="008F20FF" w:rsidRDefault="006E3843">
      <w:pPr>
        <w:spacing w:before="160" w:after="40"/>
      </w:pPr>
      <w:r>
        <w:rPr>
          <w:rFonts w:ascii="Calibri" w:hAnsi="Calibri"/>
          <w:b/>
          <w:color w:val="1F3864"/>
        </w:rPr>
        <w:t>5.  Python Proficiency</w:t>
      </w:r>
    </w:p>
    <w:p w14:paraId="5F242FA6" w14:textId="77777777" w:rsidR="008F20FF" w:rsidRDefault="006E3843">
      <w:pPr>
        <w:spacing w:after="120"/>
      </w:pPr>
      <w:r>
        <w:rPr>
          <w:rFonts w:ascii="Calibri" w:hAnsi="Calibri"/>
          <w:sz w:val="21"/>
        </w:rPr>
        <w:t>pandas for aggregation, openpyxl for Excel, python-pptx for PowerPoint, python-docx for Word. All three deliverables built programmatically from a single data load — meaning the entire portfolio refreshes with one script run when source data updates.</w:t>
      </w:r>
    </w:p>
    <w:p w14:paraId="0A44CDAC" w14:textId="77777777" w:rsidR="008F20FF" w:rsidRDefault="008F20FF">
      <w:pPr>
        <w:pBdr>
          <w:bottom w:val="single" w:sz="4" w:space="1" w:color="BDD7EE"/>
        </w:pBdr>
        <w:spacing w:before="80" w:after="80"/>
      </w:pPr>
    </w:p>
    <w:p w14:paraId="0C92F536" w14:textId="77777777" w:rsidR="008F20FF" w:rsidRDefault="008F20FF">
      <w:pPr>
        <w:spacing w:before="240" w:after="120"/>
      </w:pPr>
    </w:p>
    <w:p w14:paraId="7CD5D528" w14:textId="77777777" w:rsidR="008F20FF" w:rsidRDefault="006E3843">
      <w:pPr>
        <w:pBdr>
          <w:left w:val="single" w:sz="16" w:space="4" w:color="A6A6A6"/>
        </w:pBdr>
        <w:shd w:val="clear" w:color="auto" w:fill="F2F2F2"/>
        <w:spacing w:before="160" w:after="160"/>
        <w:ind w:left="432" w:right="432"/>
      </w:pPr>
      <w:r>
        <w:rPr>
          <w:rFonts w:ascii="Calibri" w:hAnsi="Calibri"/>
          <w:i/>
          <w:color w:val="1F3864"/>
          <w:sz w:val="21"/>
        </w:rPr>
        <w:t>This is a portfolio project. The dataset is synthetic (Nexora Technologies does not exist). All figures, names, and organizational structures are fabricated for analytical demonstration purposes. The methodology, tools, formatting standards, and findings framework are directly applicable to real-world IT Finance, FP&amp;A, and BI Analyst roles.</w:t>
      </w:r>
    </w:p>
    <w:p w14:paraId="325F56BE" w14:textId="77777777" w:rsidR="008F20FF" w:rsidRDefault="008F20FF">
      <w:pPr>
        <w:spacing w:before="160" w:after="120"/>
      </w:pPr>
    </w:p>
    <w:p w14:paraId="0E8F9091" w14:textId="77777777" w:rsidR="008F20FF" w:rsidRDefault="006E3843">
      <w:pPr>
        <w:spacing w:after="120"/>
      </w:pPr>
      <w:r>
        <w:rPr>
          <w:rFonts w:ascii="Calibri" w:hAnsi="Calibri"/>
          <w:b/>
          <w:color w:val="1F3864"/>
        </w:rPr>
        <w:t>Deliverables in This Portfolio:</w:t>
      </w:r>
    </w:p>
    <w:p w14:paraId="34A9C07A" w14:textId="77777777" w:rsidR="008F20FF" w:rsidRDefault="006E3843">
      <w:pPr>
        <w:pStyle w:val="ListBullet"/>
        <w:spacing w:before="20" w:after="60"/>
      </w:pPr>
      <w:r>
        <w:rPr>
          <w:rFonts w:ascii="Calibri" w:hAnsi="Calibri"/>
          <w:sz w:val="21"/>
        </w:rPr>
        <w:t>Nexora_IT_Finance_Dashboard.xlsx  —  7-tab Excel dashboard with real charts and conditional formatting</w:t>
      </w:r>
    </w:p>
    <w:p w14:paraId="6F49CBD4" w14:textId="77777777" w:rsidR="008F20FF" w:rsidRDefault="006E3843">
      <w:pPr>
        <w:pStyle w:val="ListBullet"/>
        <w:spacing w:before="20" w:after="60"/>
      </w:pPr>
      <w:r>
        <w:rPr>
          <w:rFonts w:ascii="Calibri" w:hAnsi="Calibri"/>
          <w:sz w:val="21"/>
        </w:rPr>
        <w:t>Nexora_IT_Finance_Executive_Deck.pptx  —  13-slide executive presentation with real chart objects</w:t>
      </w:r>
    </w:p>
    <w:p w14:paraId="7D1D771A" w14:textId="77777777" w:rsidR="008F20FF" w:rsidRDefault="006E3843">
      <w:pPr>
        <w:pStyle w:val="ListBullet"/>
        <w:spacing w:before="20" w:after="60"/>
      </w:pPr>
      <w:r>
        <w:rPr>
          <w:rFonts w:ascii="Calibri" w:hAnsi="Calibri"/>
          <w:sz w:val="21"/>
        </w:rPr>
        <w:t>Nexora_IT_Finance_Case_Study.docx  —  This document</w:t>
      </w:r>
    </w:p>
    <w:sectPr w:rsidR="008F20FF"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5092449">
    <w:abstractNumId w:val="8"/>
  </w:num>
  <w:num w:numId="2" w16cid:durableId="218977993">
    <w:abstractNumId w:val="6"/>
  </w:num>
  <w:num w:numId="3" w16cid:durableId="1894001655">
    <w:abstractNumId w:val="5"/>
  </w:num>
  <w:num w:numId="4" w16cid:durableId="620460994">
    <w:abstractNumId w:val="4"/>
  </w:num>
  <w:num w:numId="5" w16cid:durableId="2099132919">
    <w:abstractNumId w:val="7"/>
  </w:num>
  <w:num w:numId="6" w16cid:durableId="1525633508">
    <w:abstractNumId w:val="3"/>
  </w:num>
  <w:num w:numId="7" w16cid:durableId="1913923552">
    <w:abstractNumId w:val="2"/>
  </w:num>
  <w:num w:numId="8" w16cid:durableId="947083494">
    <w:abstractNumId w:val="1"/>
  </w:num>
  <w:num w:numId="9" w16cid:durableId="1983924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3843"/>
    <w:rsid w:val="008F20FF"/>
    <w:rsid w:val="00AA1D8D"/>
    <w:rsid w:val="00B47730"/>
    <w:rsid w:val="00CB0664"/>
    <w:rsid w:val="00FC693F"/>
    <w:rsid w:val="00FD65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5AC02F0-5727-44FA-937B-3E522437B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2452</Words>
  <Characters>13977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Thomas</cp:lastModifiedBy>
  <cp:revision>2</cp:revision>
  <dcterms:created xsi:type="dcterms:W3CDTF">2013-12-23T23:15:00Z</dcterms:created>
  <dcterms:modified xsi:type="dcterms:W3CDTF">2026-06-02T03:21:00Z</dcterms:modified>
  <cp:category/>
</cp:coreProperties>
</file>