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lumaarc_arc_seal_v1.png"/>
                    <pic:cNvPicPr/>
                  </pic:nvPicPr>
                  <pic:blipFill>
                    <a:blip r:embed="rId9"/>
                    <a:stretch>
                      <a:fillRect/>
                    </a:stretch>
                  </pic:blipFill>
                  <pic:spPr>
                    <a:xfrm>
                      <a:off x="0" y="0"/>
                      <a:ext cx="1554480" cy="1554480"/>
                    </a:xfrm>
                    <a:prstGeom prst="rect"/>
                  </pic:spPr>
                </pic:pic>
              </a:graphicData>
            </a:graphic>
          </wp:inline>
        </w:drawing>
      </w:r>
    </w:p>
    <w:p>
      <w:pPr>
        <w:spacing w:after="40" w:line="240" w:lineRule="auto"/>
        <w:jc w:val="center"/>
      </w:pPr>
      <w:r>
        <w:rPr>
          <w:rFonts w:ascii="Times New Roman" w:hAnsi="Times New Roman"/>
          <w:b/>
          <w:color w:val="17222B"/>
          <w:sz w:val="24"/>
        </w:rPr>
        <w:t>LUMENCORE</w:t>
      </w:r>
    </w:p>
    <w:p>
      <w:pPr>
        <w:spacing w:after="80" w:line="240" w:lineRule="auto"/>
        <w:jc w:val="center"/>
      </w:pPr>
      <w:r>
        <w:rPr>
          <w:rFonts w:ascii="Times New Roman" w:hAnsi="Times New Roman"/>
          <w:b w:val="0"/>
          <w:color w:val="52606B"/>
          <w:sz w:val="24"/>
        </w:rPr>
        <w:t>LUMAARC SEAL OF APPROVAL</w:t>
      </w:r>
    </w:p>
    <w:p>
      <w:pPr>
        <w:spacing w:after="80" w:line="240" w:lineRule="auto"/>
        <w:jc w:val="center"/>
      </w:pPr>
      <w:r>
        <w:rPr>
          <w:rFonts w:ascii="Times New Roman" w:hAnsi="Times New Roman"/>
          <w:b/>
          <w:color w:val="17222B"/>
          <w:sz w:val="24"/>
        </w:rPr>
        <w:t>MARKET RESEARCH CAPABILITY STATEMENT</w:t>
      </w:r>
    </w:p>
    <w:p>
      <w:pPr>
        <w:spacing w:after="80" w:line="240" w:lineRule="auto"/>
        <w:jc w:val="center"/>
      </w:pPr>
      <w:r>
        <w:rPr>
          <w:rFonts w:ascii="Times New Roman" w:hAnsi="Times New Roman"/>
          <w:b/>
          <w:color w:val="17222B"/>
          <w:sz w:val="24"/>
        </w:rPr>
        <w:t>Project Argos Agentic AI Proof of Concept</w:t>
      </w:r>
    </w:p>
    <w:p>
      <w:pPr>
        <w:spacing w:after="360" w:line="240" w:lineRule="auto"/>
        <w:jc w:val="center"/>
      </w:pPr>
      <w:r>
        <w:rPr>
          <w:rFonts w:ascii="Times New Roman" w:hAnsi="Times New Roman"/>
          <w:b w:val="0"/>
          <w:color w:val="52606B"/>
          <w:sz w:val="24"/>
        </w:rPr>
        <w:t>Sources Sought Notice ONC-ARGOS-SSN-2026-OS351107</w:t>
      </w:r>
    </w:p>
    <w:p>
      <w:pPr>
        <w:spacing w:after="360" w:line="240" w:lineRule="auto"/>
        <w:jc w:val="center"/>
      </w:pPr>
      <w:r>
        <w:rPr>
          <w:rFonts w:ascii="Times New Roman" w:hAnsi="Times New Roman"/>
          <w:b/>
          <w:color w:val="8A5100"/>
          <w:sz w:val="24"/>
        </w:rPr>
        <w:t>DRAFT - HUMAN REVIEW AND ACTION-TIME FACTS REQUIRED</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val="true"/>
        </w:trPr>
        <w:tc>
          <w:tcPr>
            <w:tcW w:type="dxa" w:w="2951"/>
            <w:shd w:fill="F1F3F5"/>
            <w:tcMar>
              <w:top w:w="90" w:type="dxa"/>
              <w:start w:w="110" w:type="dxa"/>
              <w:bottom w:w="90" w:type="dxa"/>
              <w:end w:w="110" w:type="dxa"/>
            </w:tcMar>
            <w:vAlign w:val="center"/>
          </w:tcPr>
          <w:p>
            <w:pPr>
              <w:spacing w:after="0" w:line="240" w:lineRule="auto"/>
            </w:pPr>
            <w:r>
              <w:rPr>
                <w:rFonts w:ascii="Times New Roman" w:hAnsi="Times New Roman"/>
                <w:b/>
                <w:sz w:val="24"/>
              </w:rPr>
              <w:t>Required cover field</w:t>
            </w:r>
          </w:p>
        </w:tc>
        <w:tc>
          <w:tcPr>
            <w:tcW w:type="dxa" w:w="6408"/>
            <w:shd w:fill="F1F3F5"/>
            <w:tcMar>
              <w:top w:w="90" w:type="dxa"/>
              <w:start w:w="110" w:type="dxa"/>
              <w:bottom w:w="90" w:type="dxa"/>
              <w:end w:w="110" w:type="dxa"/>
            </w:tcMar>
            <w:vAlign w:val="center"/>
          </w:tcPr>
          <w:p>
            <w:pPr>
              <w:spacing w:after="0" w:line="240" w:lineRule="auto"/>
            </w:pPr>
            <w:r>
              <w:rPr>
                <w:rFonts w:ascii="Times New Roman" w:hAnsi="Times New Roman"/>
                <w:b/>
                <w:sz w:val="24"/>
              </w:rPr>
              <w:t>Current response</w:t>
            </w:r>
          </w:p>
        </w:tc>
      </w:tr>
      <w:tr>
        <w:trPr>
          <w:cantSplit w:val="true"/>
        </w:trPr>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Company name</w:t>
            </w:r>
          </w:p>
        </w:tc>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LumenCore</w:t>
            </w:r>
          </w:p>
        </w:tc>
      </w:tr>
      <w:tr>
        <w:trPr>
          <w:cantSplit w:val="true"/>
        </w:trPr>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Responding legal entity</w:t>
            </w:r>
          </w:p>
        </w:tc>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Pending action-time fact</w:t>
            </w:r>
          </w:p>
        </w:tc>
      </w:tr>
      <w:tr>
        <w:trPr>
          <w:cantSplit w:val="true"/>
        </w:trPr>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Seal</w:t>
            </w:r>
          </w:p>
        </w:tc>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LumaArc seal of approval</w:t>
            </w:r>
          </w:p>
        </w:tc>
      </w:tr>
      <w:tr>
        <w:trPr>
          <w:cantSplit w:val="true"/>
        </w:trPr>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UEI / DUNS if applicable</w:t>
            </w:r>
          </w:p>
        </w:tc>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Pending action-time fact</w:t>
            </w:r>
          </w:p>
        </w:tc>
      </w:tr>
      <w:tr>
        <w:trPr>
          <w:cantSplit w:val="true"/>
        </w:trPr>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Company address</w:t>
            </w:r>
          </w:p>
        </w:tc>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Pending action-time fact</w:t>
            </w:r>
          </w:p>
        </w:tc>
      </w:tr>
      <w:tr>
        <w:trPr>
          <w:cantSplit w:val="true"/>
        </w:trPr>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Authorized point of contact</w:t>
            </w:r>
          </w:p>
        </w:tc>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Pending action-time fact</w:t>
            </w:r>
          </w:p>
        </w:tc>
      </w:tr>
      <w:tr>
        <w:trPr>
          <w:cantSplit w:val="true"/>
        </w:trPr>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Telephone / email</w:t>
            </w:r>
          </w:p>
        </w:tc>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Pending action-time fact</w:t>
            </w:r>
          </w:p>
        </w:tc>
      </w:tr>
      <w:tr>
        <w:trPr>
          <w:cantSplit w:val="true"/>
        </w:trPr>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Small-business designation(s)</w:t>
            </w:r>
          </w:p>
        </w:tc>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Pending action-time fact</w:t>
            </w:r>
          </w:p>
        </w:tc>
      </w:tr>
      <w:tr>
        <w:trPr>
          <w:cantSplit w:val="true"/>
        </w:trPr>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Public reviewer surface</w:t>
            </w:r>
          </w:p>
        </w:tc>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https://lumen-core.ai/</w:t>
            </w:r>
          </w:p>
        </w:tc>
      </w:tr>
      <w:tr>
        <w:trPr>
          <w:cantSplit w:val="true"/>
        </w:trPr>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Public evidence repository</w:t>
            </w:r>
          </w:p>
        </w:tc>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https://github.com/robertashworth1986-debug/lumen-core-public</w:t>
            </w:r>
          </w:p>
        </w:tc>
      </w:tr>
      <w:tr>
        <w:trPr>
          <w:cantSplit w:val="true"/>
        </w:trPr>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Response deadline</w:t>
            </w:r>
          </w:p>
        </w:tc>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July 30, 2026 at 5:00 PM Eastern</w:t>
            </w:r>
          </w:p>
        </w:tc>
      </w:tr>
    </w:tbl>
    <w:p>
      <w:pPr>
        <w:spacing w:after="0"/>
      </w:pPr>
    </w:p>
    <w:p>
      <w:pPr>
        <w:spacing w:before="160" w:after="0" w:line="240" w:lineRule="auto"/>
        <w:jc w:val="center"/>
      </w:pPr>
      <w:r>
        <w:rPr>
          <w:rFonts w:ascii="Times New Roman" w:hAnsi="Times New Roman"/>
          <w:i/>
          <w:color w:val="52606B"/>
          <w:sz w:val="24"/>
        </w:rPr>
        <w:t>Market research response only. No proprietary, classified, confidential, CUI, patient, or sensitive information is included.</w:t>
      </w:r>
    </w:p>
    <w:p>
      <w:pPr>
        <w:sectPr>
          <w:pgSz w:w="12240" w:h="15840"/>
          <w:pgMar w:top="1440" w:right="1440" w:bottom="1440" w:left="1440" w:header="605" w:footer="605" w:gutter="0"/>
          <w:cols w:space="720"/>
          <w:docGrid w:linePitch="360"/>
        </w:sectPr>
      </w:pPr>
    </w:p>
    <w:p>
      <w:pPr>
        <w:pStyle w:val="Heading1"/>
        <w:keepNext/>
      </w:pPr>
      <w:r>
        <w:rPr>
          <w:rFonts w:ascii="Times New Roman" w:hAnsi="Times New Roman"/>
          <w:b/>
          <w:color w:val="17222B"/>
          <w:sz w:val="24"/>
        </w:rPr>
        <w:t>1. Executive Fit and Recommended Role</w:t>
      </w:r>
    </w:p>
    <w:p>
      <w:pPr>
        <w:spacing w:before="0" w:after="120" w:line="240" w:lineRule="auto"/>
      </w:pPr>
      <w:r>
        <w:rPr>
          <w:rFonts w:ascii="Times New Roman" w:hAnsi="Times New Roman"/>
          <w:b w:val="0"/>
          <w:i w:val="0"/>
          <w:sz w:val="24"/>
        </w:rPr>
        <w:t>LumenCore offers Project Argos a bounded evidence-assurance and deterministic-validation workstream: authorized-source custody, rule traceability, hash-locked evidence cases, human decision gates, adverse-result retention, and reviewer handoff. These are component capabilities supported by the public LumenCore repository and public reviewer surface.</w:t>
      </w:r>
    </w:p>
    <w:p>
      <w:pPr>
        <w:spacing w:before="0" w:after="120" w:line="240" w:lineRule="auto"/>
      </w:pPr>
      <w:r>
        <w:rPr>
          <w:rFonts w:ascii="Times New Roman" w:hAnsi="Times New Roman"/>
          <w:b w:val="0"/>
          <w:i w:val="0"/>
          <w:sz w:val="24"/>
        </w:rPr>
        <w:t>For Project Argos, those patterns align most directly with requirements traceability, public-source ingestion provenance, deterministic validator orchestration, evidence-case generation, corrective-action retest records, and production handoff documentation. LumenCore is responding at component level and does not claim presently qualified full-scope health IT prime readiness. A credible team still requires named FHIR R4/CHPL and ONC Certification Program expertise plus an HHS ATO/FIPS 199/security lead.</w:t>
      </w:r>
    </w:p>
    <w:tbl>
      <w:tblPr>
        <w:tblStyle w:val="TableGrid"/>
        <w:tblW w:type="dxa" w:w="9360"/>
        <w:jc w:val="center"/>
        <w:tblLayout w:type="fixed"/>
        <w:tblLook w:firstColumn="1" w:firstRow="1" w:lastColumn="0" w:lastRow="0" w:noHBand="0" w:noVBand="1" w:val="04A0"/>
      </w:tblPr>
      <w:tblGrid>
        <w:gridCol w:w="9360"/>
      </w:tblGrid>
      <w:tr>
        <w:tc>
          <w:tcPr>
            <w:tcW w:type="dxa" w:w="9360"/>
            <w:shd w:fill="FFF4CC"/>
            <w:tcMar>
              <w:top w:w="120" w:type="dxa"/>
              <w:start w:w="110" w:type="dxa"/>
              <w:bottom w:w="120" w:type="dxa"/>
              <w:end w:w="110" w:type="dxa"/>
            </w:tcMar>
          </w:tcPr>
          <w:p>
            <w:pPr>
              <w:spacing w:after="0"/>
            </w:pPr>
            <w:r>
              <w:rPr>
                <w:rFonts w:ascii="Times New Roman" w:hAnsi="Times New Roman"/>
                <w:b/>
                <w:sz w:val="24"/>
              </w:rPr>
              <w:t>Recommended acquisition position: bounded evidence-assurance workstream participant in a named team. Full-prime readiness is not claimed.</w:t>
            </w:r>
          </w:p>
        </w:tc>
      </w:tr>
    </w:tbl>
    <w:p>
      <w:pPr>
        <w:pStyle w:val="Heading1"/>
        <w:keepNext/>
      </w:pPr>
      <w:r>
        <w:rPr>
          <w:rFonts w:ascii="Times New Roman" w:hAnsi="Times New Roman"/>
          <w:b/>
          <w:color w:val="17222B"/>
          <w:sz w:val="24"/>
        </w:rPr>
        <w:t>2. Understanding of the Requirement</w:t>
      </w:r>
    </w:p>
    <w:p>
      <w:pPr>
        <w:pStyle w:val="ListBullet"/>
        <w:spacing w:before="0" w:after="80" w:line="240" w:lineRule="auto"/>
        <w:ind w:left="504" w:hanging="288"/>
      </w:pPr>
      <w:r>
        <w:rPr>
          <w:rFonts w:ascii="Times New Roman" w:hAnsi="Times New Roman"/>
          <w:sz w:val="24"/>
        </w:rPr>
        <w:t>Argos is a governed monitoring and evidence system, not a general-purpose chatbot. Standards-based and legal pass/fail decisions should remain deterministic wherever possible, with AI limited to bounded support such as summarization, classification, reconciliation, and drafting.</w:t>
      </w:r>
    </w:p>
    <w:p>
      <w:pPr>
        <w:pStyle w:val="ListBullet"/>
        <w:spacing w:before="0" w:after="80" w:line="240" w:lineRule="auto"/>
        <w:ind w:left="504" w:hanging="288"/>
      </w:pPr>
      <w:r>
        <w:rPr>
          <w:rFonts w:ascii="Times New Roman" w:hAnsi="Times New Roman"/>
          <w:sz w:val="24"/>
        </w:rPr>
        <w:t>The evidence chain begins with authoritative public sources and must preserve raw artifacts, request context, timestamps, response metadata, normalized records, lineage decisions, validation outputs, and hashes.</w:t>
      </w:r>
    </w:p>
    <w:p>
      <w:pPr>
        <w:pStyle w:val="ListBullet"/>
        <w:spacing w:before="0" w:after="80" w:line="240" w:lineRule="auto"/>
        <w:ind w:left="504" w:hanging="288"/>
      </w:pPr>
      <w:r>
        <w:rPr>
          <w:rFonts w:ascii="Times New Roman" w:hAnsi="Times New Roman"/>
          <w:sz w:val="24"/>
        </w:rPr>
        <w:t>Suspected non-conformities require human review, rule-level traceability, deduplication, plain-language narratives, controlled corrective-action support, and before/after retesting.</w:t>
      </w:r>
    </w:p>
    <w:p>
      <w:pPr>
        <w:pStyle w:val="ListBullet"/>
        <w:spacing w:before="0" w:after="80" w:line="240" w:lineRule="auto"/>
        <w:ind w:left="504" w:hanging="288"/>
      </w:pPr>
      <w:r>
        <w:rPr>
          <w:rFonts w:ascii="Times New Roman" w:hAnsi="Times New Roman"/>
          <w:sz w:val="24"/>
        </w:rPr>
        <w:t>Real-world endpoint observation must be safe and unauthenticated where appropriate, must avoid patient data and protected health information absent separate written authorization, and must operate within approved rate, scope, security, and hosting boundaries.</w:t>
      </w:r>
    </w:p>
    <w:p>
      <w:pPr>
        <w:pStyle w:val="ListBullet"/>
        <w:spacing w:before="0" w:after="80" w:line="240" w:lineRule="auto"/>
        <w:ind w:left="504" w:hanging="288"/>
      </w:pPr>
      <w:r>
        <w:rPr>
          <w:rFonts w:ascii="Times New Roman" w:hAnsi="Times New Roman"/>
          <w:sz w:val="24"/>
        </w:rPr>
        <w:t>Production readiness includes Government-aligned deployment, operations and rollback runbooks, cost and staffing visibility, and an HHS authorization path; a proof-of-concept result alone is not an Authority to Operate.</w:t>
      </w:r>
    </w:p>
    <w:p>
      <w:pPr>
        <w:pStyle w:val="Heading1"/>
        <w:keepNext/>
      </w:pPr>
      <w:r>
        <w:rPr>
          <w:rFonts w:ascii="Times New Roman" w:hAnsi="Times New Roman"/>
          <w:b/>
          <w:color w:val="17222B"/>
          <w:sz w:val="24"/>
        </w:rPr>
        <w:t>3. Task-by-Task Capability and Teaming Matrix</w:t>
      </w:r>
    </w:p>
    <w:p>
      <w:pPr>
        <w:spacing w:before="0" w:after="120" w:line="240" w:lineRule="auto"/>
      </w:pPr>
      <w:r>
        <w:rPr>
          <w:rFonts w:ascii="Times New Roman" w:hAnsi="Times New Roman"/>
          <w:b w:val="0"/>
          <w:i w:val="0"/>
          <w:sz w:val="24"/>
        </w:rPr>
        <w:t>The matrix distinguishes current evidence-backed contribution from work that must be led or accepted by qualified health IT, regulatory, cybersecurity, prime, and Government personnel.</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604"/>
            <w:shd w:fill="EAF5F8"/>
            <w:tcMar>
              <w:top w:w="90" w:type="dxa"/>
              <w:start w:w="110" w:type="dxa"/>
              <w:bottom w:w="90" w:type="dxa"/>
              <w:end w:w="110" w:type="dxa"/>
            </w:tcMar>
            <w:vAlign w:val="center"/>
          </w:tcPr>
          <w:p>
            <w:pPr>
              <w:spacing w:after="0" w:line="240" w:lineRule="auto"/>
            </w:pPr>
            <w:r>
              <w:rPr>
                <w:rFonts w:ascii="Times New Roman" w:hAnsi="Times New Roman"/>
                <w:b/>
                <w:sz w:val="24"/>
              </w:rPr>
              <w:t>Task</w:t>
            </w:r>
          </w:p>
        </w:tc>
        <w:tc>
          <w:tcPr>
            <w:tcW w:type="dxa" w:w="2059"/>
            <w:shd w:fill="EAF5F8"/>
            <w:tcMar>
              <w:top w:w="90" w:type="dxa"/>
              <w:start w:w="110" w:type="dxa"/>
              <w:bottom w:w="90" w:type="dxa"/>
              <w:end w:w="110" w:type="dxa"/>
            </w:tcMar>
            <w:vAlign w:val="center"/>
          </w:tcPr>
          <w:p>
            <w:pPr>
              <w:spacing w:after="0" w:line="240" w:lineRule="auto"/>
            </w:pPr>
            <w:r>
              <w:rPr>
                <w:rFonts w:ascii="Times New Roman" w:hAnsi="Times New Roman"/>
                <w:b/>
                <w:sz w:val="24"/>
              </w:rPr>
              <w:t>Requirement</w:t>
            </w:r>
          </w:p>
        </w:tc>
        <w:tc>
          <w:tcPr>
            <w:tcW w:type="dxa" w:w="2015"/>
            <w:shd w:fill="EAF5F8"/>
            <w:tcMar>
              <w:top w:w="90" w:type="dxa"/>
              <w:start w:w="110" w:type="dxa"/>
              <w:bottom w:w="90" w:type="dxa"/>
              <w:end w:w="110" w:type="dxa"/>
            </w:tcMar>
            <w:vAlign w:val="center"/>
          </w:tcPr>
          <w:p>
            <w:pPr>
              <w:spacing w:after="0" w:line="240" w:lineRule="auto"/>
            </w:pPr>
            <w:r>
              <w:rPr>
                <w:rFonts w:ascii="Times New Roman" w:hAnsi="Times New Roman"/>
                <w:b/>
                <w:sz w:val="24"/>
              </w:rPr>
              <w:t>Proposed position</w:t>
            </w:r>
          </w:p>
        </w:tc>
        <w:tc>
          <w:tcPr>
            <w:tcW w:type="dxa" w:w="4680"/>
            <w:shd w:fill="EAF5F8"/>
            <w:tcMar>
              <w:top w:w="90" w:type="dxa"/>
              <w:start w:w="110" w:type="dxa"/>
              <w:bottom w:w="90" w:type="dxa"/>
              <w:end w:w="110" w:type="dxa"/>
            </w:tcMar>
            <w:vAlign w:val="center"/>
          </w:tcPr>
          <w:p>
            <w:pPr>
              <w:spacing w:after="0" w:line="240" w:lineRule="auto"/>
            </w:pPr>
            <w:r>
              <w:rPr>
                <w:rFonts w:ascii="Times New Roman" w:hAnsi="Times New Roman"/>
                <w:b/>
                <w:sz w:val="24"/>
              </w:rPr>
              <w:t>Bounded contribution</w:t>
            </w:r>
          </w:p>
        </w:tc>
      </w:tr>
      <w:tr>
        <w:trPr>
          <w:cantSplit w:val="true"/>
        </w:trPr>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1</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Initiation, requirements, and regulatory traceability</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Core contribution with partner review</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Build a versioned requirements-to-test-to-evidence matrix; define evidence identifiers, severity fields, human checkpoints, decision rights, schedules, and change-control receipts. A health-regulatory lead must approve mappings to 45 CFR and ONC program practice.</w:t>
            </w:r>
          </w:p>
        </w:tc>
      </w:tr>
      <w:tr>
        <w:trPr>
          <w:cantSplit w:val="true"/>
        </w:trPr>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2</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Monthly administrative reporting</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Core contribution</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Produce source-backed status reports with task progress, blockers, expected completion dates, evidence links, decisions, and unresolved gates.</w:t>
            </w:r>
          </w:p>
        </w:tc>
      </w:tr>
      <w:tr>
        <w:trPr>
          <w:cantSplit w:val="true"/>
        </w:trPr>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3</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Public-source discovery and ingestion</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Core contribution with FHIR partner</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Implement source inventory, raw-response custody, timestamps, request metadata, hashes, lineage, precedence rules, data dictionaries, and reproducible normalized projections. Partner validates CHPL, Lantern, NPPES, and FHIR domain mappings.</w:t>
            </w:r>
          </w:p>
        </w:tc>
      </w:tr>
      <w:tr>
        <w:trPr>
          <w:cantSplit w:val="true"/>
        </w:trPr>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4</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Agentic architecture and governance</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Core contribution with security partner</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Separate deterministic validators from AI support; version policies, prompts, rules, retries, rate limits, fallbacks, error handling, and audit logs; require human authorization for compliance determinations.</w:t>
            </w:r>
          </w:p>
        </w:tc>
      </w:tr>
      <w:tr>
        <w:trPr>
          <w:cantSplit w:val="true"/>
        </w:trPr>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5</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Publication and FHIR R4 conformance testing</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Partner-led</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LumenCore can wrap validator outputs in traceable evidence cases and regression receipts. A qualified FHIR/ONC partner must own standards interpretation, test design, and conformance acceptance.</w:t>
            </w:r>
          </w:p>
        </w:tc>
      </w:tr>
      <w:tr>
        <w:trPr>
          <w:cantSplit w:val="true"/>
        </w:trPr>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6</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Real-world endpoint observation</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Partner-led with evidence support</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Contribute safe-observation logging, scope controls, drift records, hashes, and replayable comparison artifacts. Partner owns health-endpoint semantics, Government-approved access boundaries, and PHI avoidance controls.</w:t>
            </w:r>
          </w:p>
        </w:tc>
      </w:tr>
      <w:tr>
        <w:trPr>
          <w:cantSplit w:val="true"/>
        </w:trPr>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7</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Evidence case generation and triage</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Core contribution</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Assemble raw and normalized artifacts, validator output, request/response logs, timestamps, hashes, severity, rule traceability, issue narratives, deduplication keys, and machine/human-readable exports.</w:t>
            </w:r>
          </w:p>
        </w:tc>
      </w:tr>
      <w:tr>
        <w:trPr>
          <w:cantSplit w:val="true"/>
        </w:trPr>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8</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Corrective-action workflow support</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Core contribution with regulatory approval</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Provide controlled draft, review, authorization, retest, and before/after evidence workflows. ONC/ONC-ACB discretion and regulatory interpretation stay with authorized personnel.</w:t>
            </w:r>
          </w:p>
        </w:tc>
      </w:tr>
      <w:tr>
        <w:trPr>
          <w:cantSplit w:val="true"/>
        </w:trPr>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9</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HHS Authority to Operate</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Security-partner-led</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LumenCore can supply component inventories, reproducibility records, change receipts, evidence links, and control-test artifacts. The team requires an experienced HHS ATO/FIPS 199/SSP lead and authorized assessment support.</w:t>
            </w:r>
          </w:p>
        </w:tc>
      </w:tr>
      <w:tr>
        <w:trPr>
          <w:cantSplit w:val="true"/>
        </w:trPr>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10</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Production-ready PPC release package</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Core contribution with prime</w:t>
            </w:r>
          </w:p>
        </w:tc>
        <w:tc>
          <w:tcPr>
            <w:tcW w:type="dxa" w:w="2340"/>
            <w:tcMar>
              <w:top w:w="90" w:type="dxa"/>
              <w:start w:w="110" w:type="dxa"/>
              <w:bottom w:w="90" w:type="dxa"/>
              <w:end w:w="110" w:type="dxa"/>
            </w:tcMar>
            <w:vAlign w:val="center"/>
          </w:tcPr>
          <w:p>
            <w:pPr>
              <w:spacing w:after="0" w:line="240" w:lineRule="auto"/>
            </w:pPr>
            <w:r>
              <w:rPr>
                <w:rFonts w:ascii="Times New Roman" w:hAnsi="Times New Roman"/>
                <w:sz w:val="24"/>
              </w:rPr>
              <w:t>Package code, dependency locks, manifests, runbooks, rollback procedures, limitations, test coverage, operating assumptions, costs, staffing needs, and reviewer receipts. Hosting and production acceptance remain prime/Government decisions.</w:t>
            </w:r>
          </w:p>
        </w:tc>
      </w:tr>
      <w:tr>
        <w:trPr>
          <w:cantSplit w:val="true"/>
        </w:trPr>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11</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Public-artifact assessment and FY 2027 strategy</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Core contribution with domain partner</w:t>
            </w:r>
          </w:p>
        </w:tc>
        <w:tc>
          <w:tcPr>
            <w:tcW w:type="dxa" w:w="2340"/>
            <w:tcMar>
              <w:top w:w="90" w:type="dxa"/>
              <w:start w:w="110" w:type="dxa"/>
              <w:bottom w:w="90" w:type="dxa"/>
              <w:end w:w="110" w:type="dxa"/>
            </w:tcMar>
            <w:vAlign w:val="center"/>
            <w:shd w:fill="F9FBFC"/>
          </w:tcPr>
          <w:p>
            <w:pPr>
              <w:spacing w:after="0" w:line="240" w:lineRule="auto"/>
            </w:pPr>
            <w:r>
              <w:rPr>
                <w:rFonts w:ascii="Times New Roman" w:hAnsi="Times New Roman"/>
                <w:sz w:val="24"/>
              </w:rPr>
              <w:t>Extend the same traceability and evidence-case pattern to approved public documentation checks, prototype scoring only under locked criteria, and retain uncertainty and adverse findings in expansion recommendations.</w:t>
            </w:r>
          </w:p>
        </w:tc>
      </w:tr>
    </w:tbl>
    <w:p>
      <w:pPr>
        <w:spacing w:after="0"/>
      </w:pPr>
    </w:p>
    <w:p>
      <w:pPr>
        <w:pStyle w:val="Heading1"/>
        <w:keepNext/>
      </w:pPr>
      <w:r>
        <w:rPr>
          <w:rFonts w:ascii="Times New Roman" w:hAnsi="Times New Roman"/>
          <w:b/>
          <w:color w:val="17222B"/>
          <w:sz w:val="24"/>
        </w:rPr>
        <w:t>4. Proposed Evidence-Assurance Workstream</w:t>
      </w:r>
    </w:p>
    <w:p>
      <w:pPr>
        <w:spacing w:before="0" w:after="120" w:line="240" w:lineRule="auto"/>
      </w:pPr>
      <w:r>
        <w:rPr>
          <w:rFonts w:ascii="Times New Roman" w:hAnsi="Times New Roman"/>
          <w:b w:val="0"/>
          <w:i w:val="0"/>
          <w:sz w:val="24"/>
        </w:rPr>
        <w:t>LumenCore proposes a fail-closed sequence in which missing authority, provenance, validation, or human disposition remains visible rather than becoming a promoted compliance claim.</w:t>
      </w:r>
    </w:p>
    <w:p>
      <w:pPr>
        <w:spacing w:before="0" w:after="100" w:line="240" w:lineRule="auto"/>
        <w:ind w:left="504" w:hanging="504"/>
      </w:pPr>
      <w:r>
        <w:rPr>
          <w:rFonts w:ascii="Times New Roman" w:hAnsi="Times New Roman"/>
          <w:b/>
          <w:sz w:val="24"/>
        </w:rPr>
        <w:t xml:space="preserve">1. </w:t>
      </w:r>
      <w:r>
        <w:rPr>
          <w:rFonts w:ascii="Times New Roman" w:hAnsi="Times New Roman"/>
          <w:sz w:val="24"/>
        </w:rPr>
        <w:t>Authorize sources and scope: Record approved source, purpose, collection boundary, cadence, rate limits, and prohibited data before collection.</w:t>
      </w:r>
    </w:p>
    <w:p>
      <w:pPr>
        <w:spacing w:before="0" w:after="100" w:line="240" w:lineRule="auto"/>
        <w:ind w:left="504" w:hanging="504"/>
      </w:pPr>
      <w:r>
        <w:rPr>
          <w:rFonts w:ascii="Times New Roman" w:hAnsi="Times New Roman"/>
          <w:b/>
          <w:sz w:val="24"/>
        </w:rPr>
        <w:t xml:space="preserve">2. </w:t>
      </w:r>
      <w:r>
        <w:rPr>
          <w:rFonts w:ascii="Times New Roman" w:hAnsi="Times New Roman"/>
          <w:sz w:val="24"/>
        </w:rPr>
        <w:t>Preserve raw observations: Store source payloads and request context with UTC timestamps, immutable identifiers, and SHA-256 manifests.</w:t>
      </w:r>
    </w:p>
    <w:p>
      <w:pPr>
        <w:spacing w:before="0" w:after="100" w:line="240" w:lineRule="auto"/>
        <w:ind w:left="504" w:hanging="504"/>
      </w:pPr>
      <w:r>
        <w:rPr>
          <w:rFonts w:ascii="Times New Roman" w:hAnsi="Times New Roman"/>
          <w:b/>
          <w:sz w:val="24"/>
        </w:rPr>
        <w:t xml:space="preserve">3. </w:t>
      </w:r>
      <w:r>
        <w:rPr>
          <w:rFonts w:ascii="Times New Roman" w:hAnsi="Times New Roman"/>
          <w:sz w:val="24"/>
        </w:rPr>
        <w:t>Normalize with lineage: Create common records while retaining source precedence, conflicts, and reversible links to raw artifacts.</w:t>
      </w:r>
    </w:p>
    <w:p>
      <w:pPr>
        <w:spacing w:before="0" w:after="100" w:line="240" w:lineRule="auto"/>
        <w:ind w:left="504" w:hanging="504"/>
      </w:pPr>
      <w:r>
        <w:rPr>
          <w:rFonts w:ascii="Times New Roman" w:hAnsi="Times New Roman"/>
          <w:b/>
          <w:sz w:val="24"/>
        </w:rPr>
        <w:t xml:space="preserve">4. </w:t>
      </w:r>
      <w:r>
        <w:rPr>
          <w:rFonts w:ascii="Times New Roman" w:hAnsi="Times New Roman"/>
          <w:sz w:val="24"/>
        </w:rPr>
        <w:t>Run deterministic checks: Apply versioned rules and validators; retain rule IDs, inputs, outputs, failures, and environment details.</w:t>
      </w:r>
    </w:p>
    <w:p>
      <w:pPr>
        <w:spacing w:before="0" w:after="100" w:line="240" w:lineRule="auto"/>
        <w:ind w:left="504" w:hanging="504"/>
      </w:pPr>
      <w:r>
        <w:rPr>
          <w:rFonts w:ascii="Times New Roman" w:hAnsi="Times New Roman"/>
          <w:b/>
          <w:sz w:val="24"/>
        </w:rPr>
        <w:t xml:space="preserve">5. </w:t>
      </w:r>
      <w:r>
        <w:rPr>
          <w:rFonts w:ascii="Times New Roman" w:hAnsi="Times New Roman"/>
          <w:sz w:val="24"/>
        </w:rPr>
        <w:t>Use AI only inside policy: Permit bounded summaries, clustering, reconciliation, and draft narratives; block autonomous compliance determinations.</w:t>
      </w:r>
    </w:p>
    <w:p>
      <w:pPr>
        <w:spacing w:before="0" w:after="100" w:line="240" w:lineRule="auto"/>
        <w:ind w:left="504" w:hanging="504"/>
      </w:pPr>
      <w:r>
        <w:rPr>
          <w:rFonts w:ascii="Times New Roman" w:hAnsi="Times New Roman"/>
          <w:b/>
          <w:sz w:val="24"/>
        </w:rPr>
        <w:t xml:space="preserve">6. </w:t>
      </w:r>
      <w:r>
        <w:rPr>
          <w:rFonts w:ascii="Times New Roman" w:hAnsi="Times New Roman"/>
          <w:sz w:val="24"/>
        </w:rPr>
        <w:t>Assemble an evidence case: Package artifacts, logs, hashes, timestamps, severity, traceability, narrative, and unresolved questions in human- and machine-readable forms.</w:t>
      </w:r>
    </w:p>
    <w:p>
      <w:pPr>
        <w:spacing w:before="0" w:after="100" w:line="240" w:lineRule="auto"/>
        <w:ind w:left="504" w:hanging="504"/>
      </w:pPr>
      <w:r>
        <w:rPr>
          <w:rFonts w:ascii="Times New Roman" w:hAnsi="Times New Roman"/>
          <w:b/>
          <w:sz w:val="24"/>
        </w:rPr>
        <w:t xml:space="preserve">7. </w:t>
      </w:r>
      <w:r>
        <w:rPr>
          <w:rFonts w:ascii="Times New Roman" w:hAnsi="Times New Roman"/>
          <w:sz w:val="24"/>
        </w:rPr>
        <w:t>Require human disposition: Route suspected issues to authorized reviewers and record decisions, rationale, corrective-action drafts, and retest outcomes.</w:t>
      </w:r>
    </w:p>
    <w:p>
      <w:pPr>
        <w:pStyle w:val="Heading1"/>
        <w:keepNext/>
      </w:pPr>
      <w:r>
        <w:rPr>
          <w:rFonts w:ascii="Times New Roman" w:hAnsi="Times New Roman"/>
          <w:b/>
          <w:color w:val="17222B"/>
          <w:sz w:val="24"/>
        </w:rPr>
        <w:t>5. Component Evidence and Similar-Scope Status</w:t>
      </w:r>
    </w:p>
    <w:p>
      <w:pPr>
        <w:spacing w:before="0" w:after="120" w:line="240" w:lineRule="auto"/>
      </w:pPr>
      <w:r>
        <w:rPr>
          <w:rFonts w:ascii="Times New Roman" w:hAnsi="Times New Roman"/>
          <w:b w:val="0"/>
          <w:i w:val="0"/>
          <w:sz w:val="24"/>
        </w:rPr>
        <w:t>The following public records support the engineering patterns offered here. They are not presented as healthcare, agency, field, or economic validation.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1944"/>
            <w:shd w:fill="EAF5F8"/>
            <w:tcMar>
              <w:top w:w="90" w:type="dxa"/>
              <w:start w:w="110" w:type="dxa"/>
              <w:bottom w:w="90" w:type="dxa"/>
              <w:end w:w="110" w:type="dxa"/>
            </w:tcMar>
            <w:vAlign w:val="center"/>
          </w:tcPr>
          <w:p>
            <w:pPr>
              <w:spacing w:after="0" w:line="240" w:lineRule="auto"/>
            </w:pPr>
            <w:r>
              <w:rPr>
                <w:rFonts w:ascii="Times New Roman" w:hAnsi="Times New Roman"/>
                <w:b/>
                <w:sz w:val="24"/>
              </w:rPr>
              <w:t>Evidence record</w:t>
            </w:r>
          </w:p>
        </w:tc>
        <w:tc>
          <w:tcPr>
            <w:tcW w:type="dxa" w:w="3960"/>
            <w:shd w:fill="EAF5F8"/>
            <w:tcMar>
              <w:top w:w="90" w:type="dxa"/>
              <w:start w:w="110" w:type="dxa"/>
              <w:bottom w:w="90" w:type="dxa"/>
              <w:end w:w="110" w:type="dxa"/>
            </w:tcMar>
            <w:vAlign w:val="center"/>
          </w:tcPr>
          <w:p>
            <w:pPr>
              <w:spacing w:after="0" w:line="240" w:lineRule="auto"/>
            </w:pPr>
            <w:r>
              <w:rPr>
                <w:rFonts w:ascii="Times New Roman" w:hAnsi="Times New Roman"/>
                <w:b/>
                <w:sz w:val="24"/>
              </w:rPr>
              <w:t>What the public artifact supports</w:t>
            </w:r>
          </w:p>
        </w:tc>
        <w:tc>
          <w:tcPr>
            <w:tcW w:type="dxa" w:w="3456"/>
            <w:shd w:fill="EAF5F8"/>
            <w:tcMar>
              <w:top w:w="90" w:type="dxa"/>
              <w:start w:w="110" w:type="dxa"/>
              <w:bottom w:w="90" w:type="dxa"/>
              <w:end w:w="110" w:type="dxa"/>
            </w:tcMar>
            <w:vAlign w:val="center"/>
          </w:tcPr>
          <w:p>
            <w:pPr>
              <w:spacing w:after="0" w:line="240" w:lineRule="auto"/>
            </w:pPr>
            <w:r>
              <w:rPr>
                <w:rFonts w:ascii="Times New Roman" w:hAnsi="Times New Roman"/>
                <w:b/>
                <w:sz w:val="24"/>
              </w:rPr>
              <w:t>What it does not support</w:t>
            </w:r>
          </w:p>
        </w:tc>
      </w:tr>
      <w:tr>
        <w:trPr>
          <w:cantSplit w:val="true"/>
        </w:trPr>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Public reviewer capsule</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31 of 31 declared assertions and 3 of 3 suites reproduced in the packaged clean-run workflow, with dependency and source-state checks.</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First-party bounded reproducibility only; not external validation, agency certification, field performance, or health IT past performance.</w:t>
            </w:r>
          </w:p>
        </w:tc>
      </w:tr>
      <w:tr>
        <w:trPr>
          <w:cantSplit w:val="true"/>
        </w:trPr>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Custody and validation controls</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Versioned manifests, SHA-256 receipts, schema checks, duplicate-action locks, and fail-closed gate records support an inspectable evidence workflow.</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Control artifacts do not establish health-domain correctness, production authorization, contract performance, or agency acceptance.</w:t>
            </w:r>
          </w:p>
        </w:tc>
      </w:tr>
      <w:tr>
        <w:trPr>
          <w:cantSplit w:val="true"/>
        </w:trPr>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Adverse-result retention</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Public records preserve failed promotion gates, negative findings, and unresolved authorities instead of converting them into favorable claims.</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Transparent failure handling is an engineering pattern, not proof of FHIR conformance, regulatory interpretation, or field performance.</w:t>
            </w:r>
          </w:p>
        </w:tc>
      </w:tr>
    </w:tbl>
    <w:p>
      <w:pPr>
        <w:spacing w:after="0"/>
      </w:pPr>
    </w:p>
    <w:p>
      <w:pPr>
        <w:spacing w:before="0" w:after="120" w:line="240" w:lineRule="auto"/>
      </w:pPr>
      <w:r>
        <w:rPr>
          <w:rFonts w:ascii="Times New Roman" w:hAnsi="Times New Roman"/>
          <w:b w:val="0"/>
          <w:i w:val="0"/>
          <w:sz w:val="24"/>
        </w:rPr>
        <w:t>The notice requests experience of similar scope and complexity. The matrix below distinguishes LumenCore component evidence from qualifications that must come from an authorized team; it does not substitute adjacent technical work for federal health prior performance.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2520"/>
            <w:shd w:fill="EAF5F8"/>
            <w:tcMar>
              <w:top w:w="90" w:type="dxa"/>
              <w:start w:w="110" w:type="dxa"/>
              <w:bottom w:w="90" w:type="dxa"/>
              <w:end w:w="110" w:type="dxa"/>
            </w:tcMar>
            <w:vAlign w:val="center"/>
          </w:tcPr>
          <w:p>
            <w:pPr>
              <w:spacing w:after="0" w:line="240" w:lineRule="auto"/>
            </w:pPr>
            <w:r>
              <w:rPr>
                <w:rFonts w:ascii="Times New Roman" w:hAnsi="Times New Roman"/>
                <w:b/>
                <w:sz w:val="24"/>
              </w:rPr>
              <w:t>Capability area</w:t>
            </w:r>
          </w:p>
        </w:tc>
        <w:tc>
          <w:tcPr>
            <w:tcW w:type="dxa" w:w="3311"/>
            <w:shd w:fill="EAF5F8"/>
            <w:tcMar>
              <w:top w:w="90" w:type="dxa"/>
              <w:start w:w="110" w:type="dxa"/>
              <w:bottom w:w="90" w:type="dxa"/>
              <w:end w:w="110" w:type="dxa"/>
            </w:tcMar>
            <w:vAlign w:val="center"/>
          </w:tcPr>
          <w:p>
            <w:pPr>
              <w:spacing w:after="0" w:line="240" w:lineRule="auto"/>
            </w:pPr>
            <w:r>
              <w:rPr>
                <w:rFonts w:ascii="Times New Roman" w:hAnsi="Times New Roman"/>
                <w:b/>
                <w:sz w:val="24"/>
              </w:rPr>
              <w:t>Present support</w:t>
            </w:r>
          </w:p>
        </w:tc>
        <w:tc>
          <w:tcPr>
            <w:tcW w:type="dxa" w:w="3528"/>
            <w:shd w:fill="EAF5F8"/>
            <w:tcMar>
              <w:top w:w="90" w:type="dxa"/>
              <w:start w:w="110" w:type="dxa"/>
              <w:bottom w:w="90" w:type="dxa"/>
              <w:end w:w="110" w:type="dxa"/>
            </w:tcMar>
            <w:vAlign w:val="center"/>
          </w:tcPr>
          <w:p>
            <w:pPr>
              <w:spacing w:after="0" w:line="240" w:lineRule="auto"/>
            </w:pPr>
            <w:r>
              <w:rPr>
                <w:rFonts w:ascii="Times New Roman" w:hAnsi="Times New Roman"/>
                <w:b/>
                <w:sz w:val="24"/>
              </w:rPr>
              <w:t>Acquisition implication</w:t>
            </w:r>
          </w:p>
        </w:tc>
      </w:tr>
      <w:tr>
        <w:trPr>
          <w:cantSplit w:val="true"/>
        </w:trPr>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Evidence custody, traceability, and deterministic validation</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Component pattern supported by public code, tests, receipts, and reviewer artifacts.</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LumenCore can be evaluated for a bounded evidence-assurance workstream.</w:t>
            </w:r>
          </w:p>
        </w:tc>
      </w:tr>
      <w:tr>
        <w:trPr>
          <w:cantSplit w:val="true"/>
        </w:trPr>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FHIR R4, CHPL/Lantern/NPPES, and ONC Certification Program delivery</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No direct LumenCore prior-performance reference is claimed.</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Named and authorized health IT/FHIR partner evidence is required.</w:t>
            </w:r>
          </w:p>
        </w:tc>
      </w:tr>
      <w:tr>
        <w:trPr>
          <w:cantSplit w:val="true"/>
        </w:trPr>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HHS ATO, FIPS 199, SSP/control implementation, and 3PAO coordination</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No direct LumenCore HHS authorization reference is claimed.</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Named and authorized federal cybersecurity lead and independent assessment path are required.</w:t>
            </w:r>
          </w:p>
        </w:tc>
      </w:tr>
      <w:tr>
        <w:trPr>
          <w:cantSplit w:val="true"/>
        </w:trPr>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Full-scope federal health program integration</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No full-prime readiness or comparable federal health delivery is claimed.</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A qualified small-business prime or integrated team must own program delivery and provide relevant references.</w:t>
            </w:r>
          </w:p>
        </w:tc>
      </w:tr>
    </w:tbl>
    <w:p>
      <w:pPr>
        <w:spacing w:after="0"/>
      </w:pPr>
    </w:p>
    <w:p>
      <w:pPr>
        <w:spacing w:before="0" w:after="120" w:line="240" w:lineRule="auto"/>
      </w:pPr>
      <w:r>
        <w:rPr>
          <w:rFonts w:ascii="Times New Roman" w:hAnsi="Times New Roman"/>
          <w:b w:val="0"/>
          <w:i/>
          <w:sz w:val="24"/>
        </w:rPr>
        <w:t>The public evidence index states the present boundary directly: current strengths are artifact custody, deterministic replay, fail-closed claim governance, reviewer handoff packaging, and bounded pilot design. Independent scientific validation, field-validated savings, agency endorsement, certified safety, audited revenue, and customer adoption require separately identified external records.</w:t>
      </w:r>
    </w:p>
    <w:p>
      <w:pPr>
        <w:pStyle w:val="Heading1"/>
        <w:keepNext/>
      </w:pPr>
      <w:r>
        <w:rPr>
          <w:rFonts w:ascii="Times New Roman" w:hAnsi="Times New Roman"/>
          <w:b/>
          <w:color w:val="17222B"/>
          <w:sz w:val="24"/>
        </w:rPr>
        <w:t>6. Delivery and Security Approach</w:t>
      </w:r>
    </w:p>
    <w:p>
      <w:pPr>
        <w:pStyle w:val="ListBullet"/>
        <w:spacing w:before="0" w:after="80" w:line="240" w:lineRule="auto"/>
        <w:ind w:left="504" w:hanging="288"/>
      </w:pPr>
      <w:r>
        <w:rPr>
          <w:rFonts w:ascii="Times New Roman" w:hAnsi="Times New Roman"/>
          <w:sz w:val="24"/>
        </w:rPr>
        <w:t>Operate in a Government-approved environment with explicit authorization boundaries, least privilege, authenticated administration, dependency locking, secrets separation, immutable audit records, and rollback procedures.</w:t>
      </w:r>
    </w:p>
    <w:p>
      <w:pPr>
        <w:pStyle w:val="ListBullet"/>
        <w:spacing w:before="0" w:after="80" w:line="240" w:lineRule="auto"/>
        <w:ind w:left="504" w:hanging="288"/>
      </w:pPr>
      <w:r>
        <w:rPr>
          <w:rFonts w:ascii="Times New Roman" w:hAnsi="Times New Roman"/>
          <w:sz w:val="24"/>
        </w:rPr>
        <w:t>Treat HHS ATO as a managed authorization program: FIPS 199 categorization, boundary definition, SSP/control implementation, evidence collection, assessment coordination, POA&amp;M handling, and Authorizing Official review.</w:t>
      </w:r>
    </w:p>
    <w:p>
      <w:pPr>
        <w:pStyle w:val="ListBullet"/>
        <w:spacing w:before="0" w:after="80" w:line="240" w:lineRule="auto"/>
        <w:ind w:left="504" w:hanging="288"/>
      </w:pPr>
      <w:r>
        <w:rPr>
          <w:rFonts w:ascii="Times New Roman" w:hAnsi="Times New Roman"/>
          <w:sz w:val="24"/>
        </w:rPr>
        <w:t>Do not collect, request, store, or use patient data or PHI unless separately authorized in writing and supported by approved architecture and controls.</w:t>
      </w:r>
    </w:p>
    <w:p>
      <w:pPr>
        <w:pStyle w:val="ListBullet"/>
        <w:spacing w:before="0" w:after="80" w:line="240" w:lineRule="auto"/>
        <w:ind w:left="504" w:hanging="288"/>
      </w:pPr>
      <w:r>
        <w:rPr>
          <w:rFonts w:ascii="Times New Roman" w:hAnsi="Times New Roman"/>
          <w:sz w:val="24"/>
        </w:rPr>
        <w:t>Keep AI components advisory and inspectable. Every model, prompt, policy, validator, retry, fallback, and rule version must be traceable to the evidence case it influenced.</w:t>
      </w:r>
    </w:p>
    <w:p>
      <w:pPr>
        <w:spacing w:before="0" w:after="120" w:line="240" w:lineRule="auto"/>
      </w:pPr>
      <w:r>
        <w:rPr>
          <w:rFonts w:ascii="Times New Roman" w:hAnsi="Times New Roman"/>
          <w:b/>
          <w:i w:val="0"/>
          <w:sz w:val="24"/>
        </w:rPr>
        <w:t>Current boundary: the public repository is not an HHS-authorized production system and does not establish an ATO, FHIR certification, 3PAO assessment, or federal health deployment. Those are explicit team and acquisition gates.</w:t>
      </w:r>
    </w:p>
    <w:p>
      <w:pPr>
        <w:pStyle w:val="Heading1"/>
        <w:keepNext/>
      </w:pPr>
      <w:r>
        <w:rPr>
          <w:rFonts w:ascii="Times New Roman" w:hAnsi="Times New Roman"/>
          <w:b/>
          <w:color w:val="17222B"/>
          <w:sz w:val="24"/>
        </w:rPr>
        <w:t>7. Teaming Structure and Missing Qualifications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2376"/>
            <w:shd w:fill="EAF5F8"/>
            <w:tcMar>
              <w:top w:w="90" w:type="dxa"/>
              <w:start w:w="110" w:type="dxa"/>
              <w:bottom w:w="90" w:type="dxa"/>
              <w:end w:w="110" w:type="dxa"/>
            </w:tcMar>
            <w:vAlign w:val="center"/>
          </w:tcPr>
          <w:p>
            <w:pPr>
              <w:spacing w:after="0" w:line="240" w:lineRule="auto"/>
            </w:pPr>
            <w:r>
              <w:rPr>
                <w:rFonts w:ascii="Times New Roman" w:hAnsi="Times New Roman"/>
                <w:b/>
                <w:sz w:val="24"/>
              </w:rPr>
              <w:t>Workstream</w:t>
            </w:r>
          </w:p>
        </w:tc>
        <w:tc>
          <w:tcPr>
            <w:tcW w:type="dxa" w:w="4680"/>
            <w:shd w:fill="EAF5F8"/>
            <w:tcMar>
              <w:top w:w="90" w:type="dxa"/>
              <w:start w:w="110" w:type="dxa"/>
              <w:bottom w:w="90" w:type="dxa"/>
              <w:end w:w="110" w:type="dxa"/>
            </w:tcMar>
            <w:vAlign w:val="center"/>
          </w:tcPr>
          <w:p>
            <w:pPr>
              <w:spacing w:after="0" w:line="240" w:lineRule="auto"/>
            </w:pPr>
            <w:r>
              <w:rPr>
                <w:rFonts w:ascii="Times New Roman" w:hAnsi="Times New Roman"/>
                <w:b/>
                <w:sz w:val="24"/>
              </w:rPr>
              <w:t>Accountability</w:t>
            </w:r>
          </w:p>
        </w:tc>
        <w:tc>
          <w:tcPr>
            <w:tcW w:type="dxa" w:w="2304"/>
            <w:shd w:fill="EAF5F8"/>
            <w:tcMar>
              <w:top w:w="90" w:type="dxa"/>
              <w:start w:w="110" w:type="dxa"/>
              <w:bottom w:w="90" w:type="dxa"/>
              <w:end w:w="110" w:type="dxa"/>
            </w:tcMar>
            <w:vAlign w:val="center"/>
          </w:tcPr>
          <w:p>
            <w:pPr>
              <w:spacing w:after="0" w:line="240" w:lineRule="auto"/>
            </w:pPr>
            <w:r>
              <w:rPr>
                <w:rFonts w:ascii="Times New Roman" w:hAnsi="Times New Roman"/>
                <w:b/>
                <w:sz w:val="24"/>
              </w:rPr>
              <w:t>Current gate</w:t>
            </w:r>
          </w:p>
        </w:tc>
      </w:tr>
      <w:tr>
        <w:trPr>
          <w:cantSplit w:val="true"/>
        </w:trPr>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LumenCore evidence-assurance workstream</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Source custody, deterministic validation orchestration, traceability, evidence cases, hashes, claim boundaries, reviewer packages, retest receipts.</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Public repository evidence supports bounded reproducibility patterns.</w:t>
            </w:r>
          </w:p>
        </w:tc>
      </w:tr>
      <w:tr>
        <w:trPr>
          <w:cantSplit w:val="true"/>
        </w:trPr>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Health IT/FHIR and ONC program lead</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CHPL/Lantern/NPPES semantics, FHIR R4 Endpoint/Organization/Bundle testing, ONC regulatory mapping, corrective-action content review.</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Pending named and authorized partner</w:t>
            </w:r>
          </w:p>
        </w:tc>
      </w:tr>
      <w:tr>
        <w:trPr>
          <w:cantSplit w:val="true"/>
        </w:trPr>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Federal cybersecurity/ATO lead</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HHS authorization boundary, FIPS 199, SSP, control implementation, assessment coordination, POA&amp;M and authorization package.</w:t>
            </w:r>
          </w:p>
        </w:tc>
        <w:tc>
          <w:tcPr>
            <w:tcW w:type="dxa" w:w="3120"/>
            <w:tcMar>
              <w:top w:w="90" w:type="dxa"/>
              <w:start w:w="110" w:type="dxa"/>
              <w:bottom w:w="90" w:type="dxa"/>
              <w:end w:w="110" w:type="dxa"/>
            </w:tcMar>
            <w:vAlign w:val="center"/>
            <w:shd w:fill="F9FBFC"/>
          </w:tcPr>
          <w:p>
            <w:pPr>
              <w:spacing w:after="0" w:line="240" w:lineRule="auto"/>
            </w:pPr>
            <w:r>
              <w:rPr>
                <w:rFonts w:ascii="Times New Roman" w:hAnsi="Times New Roman"/>
                <w:sz w:val="24"/>
              </w:rPr>
              <w:t>Pending named and authorized partner</w:t>
            </w:r>
          </w:p>
        </w:tc>
      </w:tr>
      <w:tr>
        <w:trPr>
          <w:cantSplit w:val="true"/>
        </w:trPr>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Prime/program integration lead</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Contract performance, staffing, Government coordination, hosting, delivery acceptance, health-domain prior performance, and integrated schedule.</w:t>
            </w:r>
          </w:p>
        </w:tc>
        <w:tc>
          <w:tcPr>
            <w:tcW w:type="dxa" w:w="3120"/>
            <w:tcMar>
              <w:top w:w="90" w:type="dxa"/>
              <w:start w:w="110" w:type="dxa"/>
              <w:bottom w:w="90" w:type="dxa"/>
              <w:end w:w="110" w:type="dxa"/>
            </w:tcMar>
            <w:vAlign w:val="center"/>
          </w:tcPr>
          <w:p>
            <w:pPr>
              <w:spacing w:after="0" w:line="240" w:lineRule="auto"/>
            </w:pPr>
            <w:r>
              <w:rPr>
                <w:rFonts w:ascii="Times New Roman" w:hAnsi="Times New Roman"/>
                <w:sz w:val="24"/>
              </w:rPr>
              <w:t>Pending named and authorized partner</w:t>
            </w:r>
          </w:p>
        </w:tc>
      </w:tr>
    </w:tbl>
    <w:p>
      <w:pPr>
        <w:spacing w:after="0"/>
      </w:pPr>
    </w:p>
    <w:p>
      <w:pPr>
        <w:spacing w:before="0" w:after="120" w:line="240" w:lineRule="auto"/>
      </w:pPr>
      <w:r>
        <w:rPr>
          <w:rFonts w:ascii="Times New Roman" w:hAnsi="Times New Roman"/>
          <w:b w:val="0"/>
          <w:i/>
          <w:sz w:val="24"/>
        </w:rPr>
        <w:t>No partner name, credential, contract vehicle, clearance, prior-performance reference, or legal designation will be included without authorization and documentary support at action time.</w:t>
      </w:r>
    </w:p>
    <w:p>
      <w:pPr>
        <w:pStyle w:val="Heading1"/>
        <w:keepNext/>
      </w:pPr>
      <w:r>
        <w:rPr>
          <w:rFonts w:ascii="Times New Roman" w:hAnsi="Times New Roman"/>
          <w:b/>
          <w:color w:val="17222B"/>
          <w:sz w:val="24"/>
        </w:rPr>
        <w:t>8. Illustrative Mobilization Plan</w:t>
      </w:r>
    </w:p>
    <w:p>
      <w:pPr>
        <w:spacing w:before="0" w:after="120" w:line="240" w:lineRule="auto"/>
      </w:pPr>
      <w:r>
        <w:rPr>
          <w:rFonts w:ascii="Times New Roman" w:hAnsi="Times New Roman"/>
          <w:b w:val="0"/>
          <w:i w:val="0"/>
          <w:sz w:val="24"/>
        </w:rPr>
        <w:t>The schedule below is an acquisition-planning outline, not a binding offer. It must be reconciled with Government scope, hosting, staffing, review cadence, security boundary, and the SOW's authorization milestones.</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val="true"/>
        </w:trPr>
        <w:tc>
          <w:tcPr>
            <w:tcW w:type="dxa" w:w="1800"/>
            <w:shd w:fill="EAF5F8"/>
            <w:tcMar>
              <w:top w:w="90" w:type="dxa"/>
              <w:start w:w="110" w:type="dxa"/>
              <w:bottom w:w="90" w:type="dxa"/>
              <w:end w:w="110" w:type="dxa"/>
            </w:tcMar>
            <w:vAlign w:val="center"/>
          </w:tcPr>
          <w:p>
            <w:pPr>
              <w:spacing w:after="0" w:line="240" w:lineRule="auto"/>
            </w:pPr>
            <w:r>
              <w:rPr>
                <w:rFonts w:ascii="Times New Roman" w:hAnsi="Times New Roman"/>
                <w:b/>
                <w:sz w:val="24"/>
              </w:rPr>
              <w:t>Period</w:t>
            </w:r>
          </w:p>
        </w:tc>
        <w:tc>
          <w:tcPr>
            <w:tcW w:type="dxa" w:w="7560"/>
            <w:shd w:fill="EAF5F8"/>
            <w:tcMar>
              <w:top w:w="90" w:type="dxa"/>
              <w:start w:w="110" w:type="dxa"/>
              <w:bottom w:w="90" w:type="dxa"/>
              <w:end w:w="110" w:type="dxa"/>
            </w:tcMar>
            <w:vAlign w:val="center"/>
          </w:tcPr>
          <w:p>
            <w:pPr>
              <w:spacing w:after="0" w:line="240" w:lineRule="auto"/>
            </w:pPr>
            <w:r>
              <w:rPr>
                <w:rFonts w:ascii="Times New Roman" w:hAnsi="Times New Roman"/>
                <w:b/>
                <w:sz w:val="24"/>
              </w:rPr>
              <w:t>Illustrative outcome</w:t>
            </w:r>
          </w:p>
        </w:tc>
      </w:tr>
      <w:tr>
        <w:trPr>
          <w:cantSplit w:val="true"/>
        </w:trPr>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0-30 days</w:t>
            </w:r>
          </w:p>
        </w:tc>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Confirm team, scope, source authorization, regulatory ownership, hosting assumptions, traceability schema, security boundary, and pilot cohort.</w:t>
            </w:r>
          </w:p>
        </w:tc>
      </w:tr>
      <w:tr>
        <w:trPr>
          <w:cantSplit w:val="true"/>
        </w:trPr>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31-90 days</w:t>
            </w:r>
          </w:p>
        </w:tc>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Stand up bounded ingestion, lineage, deterministic validator interfaces, evidence-case schema, human work queue, baseline test corpus, and audit logs.</w:t>
            </w:r>
          </w:p>
        </w:tc>
      </w:tr>
      <w:tr>
        <w:trPr>
          <w:cantSplit w:val="true"/>
        </w:trPr>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91-180 days</w:t>
            </w:r>
          </w:p>
        </w:tc>
        <w:tc>
          <w:tcPr>
            <w:tcW w:type="dxa" w:w="4680"/>
            <w:tcMar>
              <w:top w:w="90" w:type="dxa"/>
              <w:start w:w="110" w:type="dxa"/>
              <w:bottom w:w="90" w:type="dxa"/>
              <w:end w:w="110" w:type="dxa"/>
            </w:tcMar>
            <w:vAlign w:val="center"/>
            <w:shd w:fill="F9FBFC"/>
          </w:tcPr>
          <w:p>
            <w:pPr>
              <w:spacing w:after="0" w:line="240" w:lineRule="auto"/>
            </w:pPr>
            <w:r>
              <w:rPr>
                <w:rFonts w:ascii="Times New Roman" w:hAnsi="Times New Roman"/>
                <w:sz w:val="24"/>
              </w:rPr>
              <w:t>Expand approved endpoint observation, drift tracking, issue clustering, corrective-action draft/retest workflow, security documentation, and operational runbooks.</w:t>
            </w:r>
          </w:p>
        </w:tc>
      </w:tr>
      <w:tr>
        <w:trPr>
          <w:cantSplit w:val="true"/>
        </w:trPr>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181 days and beyond</w:t>
            </w:r>
          </w:p>
        </w:tc>
        <w:tc>
          <w:tcPr>
            <w:tcW w:type="dxa" w:w="4680"/>
            <w:tcMar>
              <w:top w:w="90" w:type="dxa"/>
              <w:start w:w="110" w:type="dxa"/>
              <w:bottom w:w="90" w:type="dxa"/>
              <w:end w:w="110" w:type="dxa"/>
            </w:tcMar>
            <w:vAlign w:val="center"/>
          </w:tcPr>
          <w:p>
            <w:pPr>
              <w:spacing w:after="0" w:line="240" w:lineRule="auto"/>
            </w:pPr>
            <w:r>
              <w:rPr>
                <w:rFonts w:ascii="Times New Roman" w:hAnsi="Times New Roman"/>
                <w:sz w:val="24"/>
              </w:rPr>
              <w:t>Complete Government-directed hardening, assessment evidence, production handoff, PPC evaluation, cost/staffing analysis, and FY 2027 strategy.</w:t>
            </w:r>
          </w:p>
        </w:tc>
      </w:tr>
    </w:tbl>
    <w:p>
      <w:pPr>
        <w:spacing w:after="0"/>
      </w:pPr>
    </w:p>
    <w:p>
      <w:pPr>
        <w:pStyle w:val="Heading1"/>
        <w:keepNext/>
      </w:pPr>
      <w:r>
        <w:rPr>
          <w:rFonts w:ascii="Times New Roman" w:hAnsi="Times New Roman"/>
          <w:b/>
          <w:color w:val="17222B"/>
          <w:sz w:val="24"/>
        </w:rPr>
        <w:t>9. Questions and Requested Next Step</w:t>
      </w:r>
    </w:p>
    <w:p>
      <w:pPr>
        <w:spacing w:before="0" w:after="100" w:line="240" w:lineRule="auto"/>
        <w:ind w:left="504" w:hanging="504"/>
      </w:pPr>
      <w:r>
        <w:rPr>
          <w:rFonts w:ascii="Times New Roman" w:hAnsi="Times New Roman"/>
          <w:b/>
          <w:sz w:val="24"/>
        </w:rPr>
        <w:t xml:space="preserve">1. </w:t>
      </w:r>
      <w:r>
        <w:rPr>
          <w:rFonts w:ascii="Times New Roman" w:hAnsi="Times New Roman"/>
          <w:sz w:val="24"/>
        </w:rPr>
        <w:t>What proof-of-concept duration, target cohort size, and Government hosting environment should respondents assume for acquisition planning?</w:t>
      </w:r>
    </w:p>
    <w:p>
      <w:pPr>
        <w:spacing w:before="0" w:after="100" w:line="240" w:lineRule="auto"/>
        <w:ind w:left="504" w:hanging="504"/>
      </w:pPr>
      <w:r>
        <w:rPr>
          <w:rFonts w:ascii="Times New Roman" w:hAnsi="Times New Roman"/>
          <w:b/>
          <w:sz w:val="24"/>
        </w:rPr>
        <w:t xml:space="preserve">2. </w:t>
      </w:r>
      <w:r>
        <w:rPr>
          <w:rFonts w:ascii="Times New Roman" w:hAnsi="Times New Roman"/>
          <w:sz w:val="24"/>
        </w:rPr>
        <w:t>Which organization owns final interpretation of 45 CFR and ONC Certification Program test outcomes, and what review service levels are expected?</w:t>
      </w:r>
    </w:p>
    <w:p>
      <w:pPr>
        <w:spacing w:before="0" w:after="100" w:line="240" w:lineRule="auto"/>
        <w:ind w:left="504" w:hanging="504"/>
      </w:pPr>
      <w:r>
        <w:rPr>
          <w:rFonts w:ascii="Times New Roman" w:hAnsi="Times New Roman"/>
          <w:b/>
          <w:sz w:val="24"/>
        </w:rPr>
        <w:t xml:space="preserve">3. </w:t>
      </w:r>
      <w:r>
        <w:rPr>
          <w:rFonts w:ascii="Times New Roman" w:hAnsi="Times New Roman"/>
          <w:sz w:val="24"/>
        </w:rPr>
        <w:t>Will HHS provide an approved source list, rate-limit policy, synthetic test corpus, and expected evidence-case export schema?</w:t>
      </w:r>
    </w:p>
    <w:p>
      <w:pPr>
        <w:spacing w:before="0" w:after="100" w:line="240" w:lineRule="auto"/>
        <w:ind w:left="504" w:hanging="504"/>
      </w:pPr>
      <w:r>
        <w:rPr>
          <w:rFonts w:ascii="Times New Roman" w:hAnsi="Times New Roman"/>
          <w:b/>
          <w:sz w:val="24"/>
        </w:rPr>
        <w:t xml:space="preserve">4. </w:t>
      </w:r>
      <w:r>
        <w:rPr>
          <w:rFonts w:ascii="Times New Roman" w:hAnsi="Times New Roman"/>
          <w:sz w:val="24"/>
        </w:rPr>
        <w:t>Is HHS seeking one full-scope prime, or would it value clearly bounded small-business teaming responses for evidence assurance, FHIR validation, and ATO workstreams?</w:t>
      </w:r>
    </w:p>
    <w:p>
      <w:pPr>
        <w:spacing w:before="0" w:after="100" w:line="240" w:lineRule="auto"/>
        <w:ind w:left="504" w:hanging="504"/>
      </w:pPr>
      <w:r>
        <w:rPr>
          <w:rFonts w:ascii="Times New Roman" w:hAnsi="Times New Roman"/>
          <w:b/>
          <w:sz w:val="24"/>
        </w:rPr>
        <w:t xml:space="preserve">5. </w:t>
      </w:r>
      <w:r>
        <w:rPr>
          <w:rFonts w:ascii="Times New Roman" w:hAnsi="Times New Roman"/>
          <w:sz w:val="24"/>
        </w:rPr>
        <w:t>What existing HHS authorization boundary, reusable controls, continuous-monitoring services, or 3PAO arrangements may be available to the PPC?</w:t>
      </w:r>
    </w:p>
    <w:p>
      <w:pPr>
        <w:spacing w:before="0" w:after="120" w:line="240" w:lineRule="auto"/>
      </w:pPr>
      <w:r>
        <w:rPr>
          <w:rFonts w:ascii="Times New Roman" w:hAnsi="Times New Roman"/>
          <w:b/>
          <w:i w:val="0"/>
          <w:sz w:val="24"/>
        </w:rPr>
        <w:t>Requested next step: include LumenCore in market-research or teaming discussions where a qualified prime needs an inspectable evidence-assurance workstream for source custody, deterministic validators, rule traceability, human-gated issue disposition, and reproducible handoff.</w:t>
      </w:r>
    </w:p>
    <w:p>
      <w:pPr>
        <w:spacing w:before="0" w:after="120" w:line="240" w:lineRule="auto"/>
      </w:pPr>
      <w:r>
        <w:rPr>
          <w:rFonts w:ascii="Times New Roman" w:hAnsi="Times New Roman"/>
          <w:b w:val="0"/>
          <w:i/>
          <w:color w:val="52606B"/>
          <w:sz w:val="24"/>
        </w:rPr>
        <w:t>This response is for market research only and is not an offer, proposal, certification, or representation that every draft SOW task is presently covered.</w:t>
      </w:r>
    </w:p>
    <w:sectPr w:rsidR="00FC693F" w:rsidRPr="0006063C" w:rsidSect="00034616">
      <w:headerReference w:type="default" r:id="rId10"/>
      <w:footerReference w:type="default" r:id="rId11"/>
      <w:pgSz w:w="12240" w:h="15840"/>
      <w:pgMar w:top="1440" w:right="1440" w:bottom="1440" w:left="1440" w:header="605" w:footer="60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olor w:val="52606B"/>
        <w:sz w:val="24"/>
      </w:rPr>
      <w:t xml:space="preserve">Content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color w:val="52606B"/>
        <w:sz w:val="24"/>
      </w:rPr>
      <w:t>LumenCore | Project Argos | ONC-ARGOS-SSN-2026-OS351107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17222B"/>
      <w:sz w:val="24"/>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outlineLvl w:val="1"/>
    </w:pPr>
    <w:rPr>
      <w:rFonts w:asciiTheme="majorHAnsi" w:eastAsiaTheme="majorEastAsia" w:hAnsiTheme="majorHAnsi" w:cstheme="majorBidi" w:ascii="Times New Roman" w:hAnsi="Times New Roman"/>
      <w:b/>
      <w:bCs/>
      <w:color w:val="17222B"/>
      <w:sz w:val="24"/>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b/>
      <w:bCs/>
      <w:color w:val="1722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222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40" w:lineRule="auto"/>
    </w:pPr>
    <w:rPr>
      <w:rFonts w:asciiTheme="majorHAnsi" w:eastAsiaTheme="majorEastAsia" w:hAnsiTheme="majorHAnsi" w:cstheme="majorBidi" w:ascii="Times New Roman" w:hAnsi="Times New Roman"/>
      <w:b/>
      <w:i/>
      <w:iCs/>
      <w:color w:val="17222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Argos Capability Statement - Bounded Teaming Response</dc:title>
  <dc:subject>ONC-ARGOS-SSN-2026-OS351107</dc:subject>
  <dc:creator>LumenCore</dc:creator>
  <cp:keywords>Project Argos, sources sought, evidence assurance</cp:keywords>
  <dc:description>generated by python-docx</dc:description>
  <cp:lastModifiedBy/>
  <cp:revision>1</cp:revision>
  <dcterms:created xsi:type="dcterms:W3CDTF">2013-12-23T23:15:00Z</dcterms:created>
  <dcterms:modified xsi:type="dcterms:W3CDTF">2013-12-23T23:15:00Z</dcterms:modified>
  <cp:category/>
</cp:coreProperties>
</file>