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F4E79"/>
          <w:sz w:val="20"/>
        </w:rPr>
        <w:t>CAPABILITY STATEMENT</w:t>
      </w:r>
    </w:p>
    <w:p>
      <w:pPr>
        <w:spacing w:after="40"/>
        <w:jc w:val="center"/>
      </w:pPr>
      <w:r>
        <w:rPr>
          <w:b/>
          <w:color w:val="1C242C"/>
          <w:sz w:val="36"/>
        </w:rPr>
        <w:t>Evidence-Bounded AI Support for the Federal Acquisition Lifecycle</w:t>
      </w:r>
    </w:p>
    <w:p>
      <w:pPr>
        <w:spacing w:after="180"/>
        <w:jc w:val="center"/>
        <w:pBdr>
          <w:bottom w:val="single" w:sz="8" w:space="6" w:color="D9DEE5"/>
        </w:pBdr>
      </w:pPr>
      <w:r>
        <w:rPr>
          <w:color w:val="586069"/>
          <w:sz w:val="21"/>
        </w:rPr>
        <w:t>CDC Reverse Industry Day | Notice 75D301-26-RFI-73483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480"/>
        <w:gridCol w:w="1150"/>
        <w:gridCol w:w="3530"/>
      </w:tblGrid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8"/>
              </w:rPr>
              <w:t>Respondent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8"/>
              </w:rPr>
              <w:t>LumenCore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8"/>
              </w:rPr>
              <w:t>Notice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8"/>
              </w:rPr>
              <w:t>75D301-26-RFI-73483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8"/>
              </w:rPr>
              <w:t>Contact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8"/>
              </w:rPr>
              <w:t>Robert Ashworth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8"/>
              </w:rPr>
              <w:t>Status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8"/>
              </w:rPr>
              <w:t>Prototype-stage / in development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8"/>
              </w:rPr>
              <w:t>Location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8"/>
              </w:rPr>
              <w:t>Nashville, Tennessee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8"/>
              </w:rPr>
              <w:t>Response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8"/>
              </w:rPr>
              <w:t>AI acquisition support capability</w:t>
            </w:r>
          </w:p>
        </w:tc>
      </w:tr>
    </w:tbl>
    <w:p>
      <w:pPr>
        <w:spacing w:after="0"/>
      </w:pPr>
    </w:p>
    <w:p>
      <w:pPr>
        <w:pStyle w:val="Heading1"/>
      </w:pPr>
      <w:r>
        <w:t>Executive Summary</w:t>
      </w:r>
    </w:p>
    <w:p>
      <w:r>
        <w:t>LumenCore is a founder-built, prototype-stage AI evidence and evaluation platform. It is designed to help acquisition and technical review teams determine what an AI-assisted workflow measured, which sources and assumptions it used, how it compared with a locked incumbent baseline, and which conclusions remain unsupported. The product is still in development and is not represented as federally deployed, commercially validated, certified, or authorized for autonomous acquisition decisions.</w:t>
      </w:r>
    </w:p>
    <w:p>
      <w:r>
        <w:t>For CDC, LumenCore could be demonstrated as a bounded evidence layer around acquisition planning, market research, requirements development, proposal evaluation support, contract administration, and closeout. Human officials retain all decision and approval authority.</w:t>
      </w:r>
    </w:p>
    <w:p>
      <w:pPr>
        <w:pStyle w:val="Heading1"/>
      </w:pPr>
      <w:r>
        <w:t>Acquisition Lifecycle Alignment</w:t>
      </w:r>
    </w:p>
    <w:p>
      <w:pPr>
        <w:pStyle w:val="ListBullet"/>
        <w:spacing w:after="60" w:line="252" w:lineRule="auto"/>
        <w:ind w:left="619" w:hanging="288"/>
      </w:pPr>
      <w:r>
        <w:t>Planning and market research: register the acquisition question, source inventory, update times, assumptions, and evidence gaps before analysis begins.</w:t>
      </w:r>
    </w:p>
    <w:p>
      <w:pPr>
        <w:pStyle w:val="ListBullet"/>
        <w:spacing w:after="60" w:line="252" w:lineRule="auto"/>
        <w:ind w:left="619" w:hanging="288"/>
      </w:pPr>
      <w:r>
        <w:t>Requirements development: trace each requirement to source material, acceptance criteria, exclusions, and reviewer ownership.</w:t>
      </w:r>
    </w:p>
    <w:p>
      <w:pPr>
        <w:pStyle w:val="ListBullet"/>
        <w:spacing w:after="60" w:line="252" w:lineRule="auto"/>
        <w:ind w:left="619" w:hanging="288"/>
      </w:pPr>
      <w:r>
        <w:t>AI tool and workflow evaluation: compare candidate workflows against a preselected manual or non-AI baseline using locked metrics and holdout rules.</w:t>
      </w:r>
    </w:p>
    <w:p>
      <w:pPr>
        <w:pStyle w:val="ListBullet"/>
        <w:spacing w:after="60" w:line="252" w:lineRule="auto"/>
        <w:ind w:left="619" w:hanging="288"/>
      </w:pPr>
      <w:r>
        <w:t>Proposal evaluation support: preserve evidence citations, scoring rationale, uncertainty, conflicts, abstentions, and human reviewer decisions without automating source selection.</w:t>
      </w:r>
    </w:p>
    <w:p>
      <w:pPr>
        <w:pStyle w:val="ListBullet"/>
        <w:spacing w:after="60" w:line="252" w:lineRule="auto"/>
        <w:ind w:left="619" w:hanging="288"/>
      </w:pPr>
      <w:r>
        <w:t>Administration and closeout: assemble milestone, deliverable, exception, and disposition records into machine-readable manifests and concise reviewer packets.</w:t>
      </w:r>
    </w:p>
    <w:p>
      <w:r>
        <w:br w:type="page"/>
      </w:r>
    </w:p>
    <w:p>
      <w:pPr>
        <w:pStyle w:val="Heading1"/>
      </w:pPr>
      <w:r>
        <w:t>Technical Approach</w:t>
      </w:r>
    </w:p>
    <w:p>
      <w:pPr>
        <w:pStyle w:val="CapabilityNumber"/>
      </w:pPr>
      <w:r>
        <w:rPr>
          <w:b/>
          <w:color w:val="1F4E79"/>
        </w:rPr>
        <w:t xml:space="preserve">1. </w:t>
      </w:r>
      <w:r>
        <w:t>Source gate - record origin, owner, timestamp, access boundary, hash, transformation, and measured-versus-synthetic status.</w:t>
      </w:r>
    </w:p>
    <w:p>
      <w:pPr>
        <w:pStyle w:val="CapabilityNumber"/>
      </w:pPr>
      <w:r>
        <w:rPr>
          <w:b/>
          <w:color w:val="1F4E79"/>
        </w:rPr>
        <w:t xml:space="preserve">2. </w:t>
      </w:r>
      <w:r>
        <w:t>Evaluation-plan gate - freeze the baseline, candidate, metric, threshold, holdout policy, and prohibited claims before scoring.</w:t>
      </w:r>
    </w:p>
    <w:p>
      <w:pPr>
        <w:pStyle w:val="CapabilityNumber"/>
      </w:pPr>
      <w:r>
        <w:rPr>
          <w:b/>
          <w:color w:val="1F4E79"/>
        </w:rPr>
        <w:t xml:space="preserve">3. </w:t>
      </w:r>
      <w:r>
        <w:t>Replay gate - execute the approved comparison, preserve configuration and failures, and block results when source quality or required controls fail.</w:t>
      </w:r>
    </w:p>
    <w:p>
      <w:pPr>
        <w:pStyle w:val="CapabilityNumber"/>
      </w:pPr>
      <w:r>
        <w:rPr>
          <w:b/>
          <w:color w:val="1F4E79"/>
        </w:rPr>
        <w:t xml:space="preserve">4. </w:t>
      </w:r>
      <w:r>
        <w:t>Review gate - generate a machine-readable manifest plus a human-readable proof card showing improvements, regressions, uncertainty, missing evidence, and claim boundaries.</w:t>
      </w:r>
    </w:p>
    <w:p>
      <w:pPr>
        <w:pStyle w:val="CapabilityNumber"/>
      </w:pPr>
      <w:r>
        <w:rPr>
          <w:b/>
          <w:color w:val="1F4E79"/>
        </w:rPr>
        <w:t xml:space="preserve">5. </w:t>
      </w:r>
      <w:r>
        <w:t>Decision gate - require an authorized human to approve any recommendation, pilot transition, external transmission, or high-impact action.</w:t>
      </w:r>
    </w:p>
    <w:p>
      <w:pPr>
        <w:pStyle w:val="Heading1"/>
      </w:pPr>
      <w:r>
        <w:t>Current Product and Evidence Status</w:t>
      </w:r>
    </w:p>
    <w:p>
      <w:pPr>
        <w:pStyle w:val="ListBullet"/>
        <w:spacing w:after="60" w:line="252" w:lineRule="auto"/>
        <w:ind w:left="619" w:hanging="288"/>
      </w:pPr>
      <w:r>
        <w:t>Working prototype components include source inventory, provenance records, locked evaluation plans, baseline-versus-candidate replay, evidence manifests, reviewer summaries, and fail-closed workflow controls.</w:t>
      </w:r>
    </w:p>
    <w:p>
      <w:pPr>
        <w:pStyle w:val="ListBullet"/>
        <w:spacing w:after="60" w:line="252" w:lineRule="auto"/>
        <w:ind w:left="619" w:hanging="288"/>
      </w:pPr>
      <w:r>
        <w:t>Public reviewer surface: https://lumen-core.ai/proof_to_pilot.html</w:t>
      </w:r>
    </w:p>
    <w:p>
      <w:pPr>
        <w:pStyle w:val="ListBullet"/>
        <w:spacing w:after="60" w:line="252" w:lineRule="auto"/>
        <w:ind w:left="619" w:hanging="288"/>
      </w:pPr>
      <w:r>
        <w:t>Evidence is internally reproducible and hash-addressed; it is not represented as CDC validation, field performance, realized savings, ATO, FedRAMP authorization, or CMMC certification.</w:t>
      </w:r>
    </w:p>
    <w:p>
      <w:pPr>
        <w:pStyle w:val="ListBullet"/>
        <w:spacing w:after="60" w:line="252" w:lineRule="auto"/>
        <w:ind w:left="619" w:hanging="288"/>
      </w:pPr>
      <w:r>
        <w:t>LumenCore is available for a controlled, non-production demonstration using synthetic, public, or CDC-authorized data and pre-agreed evaluation criteria.</w:t>
      </w:r>
    </w:p>
    <w:p>
      <w:pPr>
        <w:pStyle w:val="Heading1"/>
      </w:pPr>
      <w:r>
        <w:t>Proposed Reverse Industry Day Demonstration</w:t>
      </w:r>
    </w:p>
    <w:p>
      <w:r>
        <w:t>LumenCore would demonstrate a small acquisition workflow in which a requirement and evaluation plan are registered before scoring; two AI-assisted approaches are compared with a locked baseline; provenance, configuration, exceptions, and uncertainty are captured; and a reviewer packet distinguishes measured evidence from assumptions. The demonstration would emphasize auditability, abstention when evidence is insufficient, and human control rather than autonomous acquisition authority.</w:t>
      </w:r>
    </w:p>
    <w:p>
      <w:pPr>
        <w:pStyle w:val="Heading1"/>
      </w:pPr>
      <w:r>
        <w:t>Contact</w:t>
      </w:r>
    </w:p>
    <w:p>
      <w:pPr>
        <w:keepNext/>
      </w:pPr>
      <w:r>
        <w:rPr>
          <w:b/>
        </w:rPr>
        <w:t>Robert Ashworth | LumenCore | Nashville, Tennessee</w:t>
      </w:r>
      <w:r>
        <w:br/>
        <w:t>robertashworth4444@gmail.com | https://lumen-core.ai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86069"/>
        <w:sz w:val="16"/>
      </w:rPr>
      <w:t>75D301-26-RFI-73483 | Market research response | Public-safe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color w:val="586069"/>
        <w:sz w:val="17"/>
      </w:rPr>
      <w:t>LumenCore | CDC AI Acquisition Support RFI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Calibri" w:hAnsi="Calibri"/>
      <w:color w:val="1C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abilityBullet">
    <w:name w:val="Capability Bullet"/>
    <w:basedOn w:val="Normal"/>
    <w:pPr>
      <w:spacing w:after="60" w:line="252" w:lineRule="auto"/>
      <w:ind w:left="619" w:hanging="288"/>
    </w:pPr>
    <w:rPr>
      <w:rFonts w:ascii="Calibri" w:hAnsi="Calibri"/>
      <w:sz w:val="20"/>
    </w:rPr>
  </w:style>
  <w:style w:type="paragraph" w:customStyle="1" w:styleId="CapabilityNumber">
    <w:name w:val="Capability Number"/>
    <w:basedOn w:val="Normal"/>
    <w:pPr>
      <w:spacing w:after="60" w:line="252" w:lineRule="auto"/>
      <w:ind w:left="619" w:hanging="288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