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rFonts w:ascii="Times New Roman" w:hAnsi="Times New Roman"/>
          <w:b/>
          <w:i w:val="0"/>
          <w:color w:val="1F4E78"/>
          <w:sz w:val="32"/>
        </w:rPr>
        <w:t>COVER SHEET</w:t>
      </w:r>
    </w:p>
    <w:p>
      <w:pPr>
        <w:spacing w:after="200"/>
        <w:jc w:val="center"/>
      </w:pPr>
      <w:r>
        <w:rPr>
          <w:rFonts w:ascii="Times New Roman" w:hAnsi="Times New Roman"/>
          <w:b/>
          <w:i w:val="0"/>
          <w:color w:val="9B1C1C"/>
          <w:sz w:val="20"/>
        </w:rPr>
        <w:t>WORKING DRAFT - NOT APPROVED FOR SUBMISSION</w:t>
      </w:r>
    </w:p>
    <w:tbl>
      <w:tblPr>
        <w:tblW w:type="auto" w:w="0"/>
        <w:jc w:val="center"/>
        <w:tblLayout w:type="fixed"/>
        <w:tblLook w:firstColumn="1" w:firstRow="1" w:lastColumn="0" w:lastRow="0" w:noHBand="0" w:noVBand="1" w:val="04A0"/>
      </w:tblPr>
      <w:tblGrid>
        <w:gridCol w:w="2952"/>
        <w:gridCol w:w="6408"/>
      </w:tblGrid>
      <w:tr>
        <w:tc>
          <w:tcPr>
            <w:tcW w:type="dxa" w:w="2952"/>
            <w:vAlign w:val="center"/>
            <w:shd w:fill="D9EAF7"/>
            <w:tcMar>
              <w:top w:w="80" w:type="dxa"/>
              <w:start w:w="120" w:type="dxa"/>
              <w:bottom w:w="80" w:type="dxa"/>
              <w:end w:w="120" w:type="dxa"/>
            </w:tcMar>
          </w:tcPr>
          <w:p>
            <w:pPr>
              <w:spacing w:after="0"/>
            </w:pPr>
            <w:r>
              <w:rPr>
                <w:rFonts w:ascii="Times New Roman" w:hAnsi="Times New Roman"/>
                <w:b/>
                <w:i w:val="0"/>
                <w:color w:val="000000"/>
                <w:sz w:val="20"/>
              </w:rPr>
              <w:t>Abstract Title</w:t>
            </w:r>
          </w:p>
        </w:tc>
        <w:tc>
          <w:tcPr>
            <w:tcW w:type="dxa" w:w="6408"/>
            <w:vAlign w:val="center"/>
            <w:tcMar>
              <w:top w:w="80" w:type="dxa"/>
              <w:start w:w="120" w:type="dxa"/>
              <w:bottom w:w="80" w:type="dxa"/>
              <w:end w:w="120" w:type="dxa"/>
            </w:tcMar>
          </w:tcPr>
          <w:p>
            <w:pPr>
              <w:spacing w:after="0"/>
            </w:pPr>
            <w:r>
              <w:rPr>
                <w:rFonts w:ascii="Times New Roman" w:hAnsi="Times New Roman"/>
                <w:b w:val="0"/>
                <w:i w:val="0"/>
                <w:color w:val="000000"/>
                <w:sz w:val="20"/>
              </w:rPr>
              <w:t>Coherence-Bounded Peer Mesh: Sparse Task Markets and Local Inference Control for Resilient Heterogeneous AI Collectives</w:t>
            </w:r>
          </w:p>
        </w:tc>
      </w:tr>
      <w:tr>
        <w:tc>
          <w:tcPr>
            <w:tcW w:type="dxa" w:w="2952"/>
            <w:vAlign w:val="center"/>
            <w:shd w:fill="D9EAF7"/>
            <w:tcMar>
              <w:top w:w="80" w:type="dxa"/>
              <w:start w:w="120" w:type="dxa"/>
              <w:bottom w:w="80" w:type="dxa"/>
              <w:end w:w="120" w:type="dxa"/>
            </w:tcMar>
          </w:tcPr>
          <w:p>
            <w:pPr>
              <w:spacing w:after="0"/>
            </w:pPr>
            <w:r>
              <w:rPr>
                <w:rFonts w:ascii="Times New Roman" w:hAnsi="Times New Roman"/>
                <w:b/>
                <w:i w:val="0"/>
                <w:color w:val="000000"/>
                <w:sz w:val="20"/>
              </w:rPr>
              <w:t>Technical Area</w:t>
            </w:r>
          </w:p>
        </w:tc>
        <w:tc>
          <w:tcPr>
            <w:tcW w:type="dxa" w:w="6408"/>
            <w:vAlign w:val="center"/>
            <w:tcMar>
              <w:top w:w="80" w:type="dxa"/>
              <w:start w:w="120" w:type="dxa"/>
              <w:bottom w:w="80" w:type="dxa"/>
              <w:end w:w="120" w:type="dxa"/>
            </w:tcMar>
          </w:tcPr>
          <w:p>
            <w:pPr>
              <w:spacing w:after="0"/>
            </w:pPr>
            <w:r>
              <w:rPr>
                <w:rFonts w:ascii="Times New Roman" w:hAnsi="Times New Roman"/>
                <w:b w:val="0"/>
                <w:i w:val="0"/>
                <w:color w:val="000000"/>
                <w:sz w:val="20"/>
              </w:rPr>
              <w:t>TA1 &amp; TA2</w:t>
            </w:r>
          </w:p>
        </w:tc>
      </w:tr>
      <w:tr>
        <w:tc>
          <w:tcPr>
            <w:tcW w:type="dxa" w:w="2952"/>
            <w:vAlign w:val="center"/>
            <w:shd w:fill="D9EAF7"/>
            <w:tcMar>
              <w:top w:w="80" w:type="dxa"/>
              <w:start w:w="120" w:type="dxa"/>
              <w:bottom w:w="80" w:type="dxa"/>
              <w:end w:w="120" w:type="dxa"/>
            </w:tcMar>
          </w:tcPr>
          <w:p>
            <w:pPr>
              <w:spacing w:after="0"/>
            </w:pPr>
            <w:r>
              <w:rPr>
                <w:rFonts w:ascii="Times New Roman" w:hAnsi="Times New Roman"/>
                <w:b/>
                <w:i w:val="0"/>
                <w:color w:val="000000"/>
                <w:sz w:val="20"/>
              </w:rPr>
              <w:t>Proposer Organization</w:t>
            </w:r>
          </w:p>
        </w:tc>
        <w:tc>
          <w:tcPr>
            <w:tcW w:type="dxa" w:w="6408"/>
            <w:vAlign w:val="center"/>
            <w:tcMar>
              <w:top w:w="80" w:type="dxa"/>
              <w:start w:w="120" w:type="dxa"/>
              <w:bottom w:w="80" w:type="dxa"/>
              <w:end w:w="120" w:type="dxa"/>
            </w:tcMar>
          </w:tcPr>
          <w:p>
            <w:pPr>
              <w:spacing w:after="0"/>
            </w:pPr>
            <w:r>
              <w:rPr>
                <w:rFonts w:ascii="Times New Roman" w:hAnsi="Times New Roman"/>
                <w:b w:val="0"/>
                <w:i w:val="0"/>
                <w:color w:val="000000"/>
                <w:sz w:val="20"/>
              </w:rPr>
              <w:t>Robert Ashworth d/b/a LumenCore</w:t>
            </w:r>
          </w:p>
        </w:tc>
      </w:tr>
      <w:tr>
        <w:tc>
          <w:tcPr>
            <w:tcW w:type="dxa" w:w="2952"/>
            <w:vAlign w:val="center"/>
            <w:shd w:fill="D9EAF7"/>
            <w:tcMar>
              <w:top w:w="80" w:type="dxa"/>
              <w:start w:w="120" w:type="dxa"/>
              <w:bottom w:w="80" w:type="dxa"/>
              <w:end w:w="120" w:type="dxa"/>
            </w:tcMar>
          </w:tcPr>
          <w:p>
            <w:pPr>
              <w:spacing w:after="0"/>
            </w:pPr>
            <w:r>
              <w:rPr>
                <w:rFonts w:ascii="Times New Roman" w:hAnsi="Times New Roman"/>
                <w:b/>
                <w:i w:val="0"/>
                <w:color w:val="000000"/>
                <w:sz w:val="20"/>
              </w:rPr>
              <w:t>Technical Point of Contact (POC)</w:t>
            </w:r>
          </w:p>
        </w:tc>
        <w:tc>
          <w:tcPr>
            <w:tcW w:type="dxa" w:w="6408"/>
            <w:vAlign w:val="center"/>
            <w:tcMar>
              <w:top w:w="80" w:type="dxa"/>
              <w:start w:w="120" w:type="dxa"/>
              <w:bottom w:w="80" w:type="dxa"/>
              <w:end w:w="120" w:type="dxa"/>
            </w:tcMar>
          </w:tcPr>
          <w:p>
            <w:pPr>
              <w:spacing w:after="0"/>
            </w:pPr>
            <w:r>
              <w:rPr>
                <w:rFonts w:ascii="Times New Roman" w:hAnsi="Times New Roman"/>
                <w:b w:val="0"/>
                <w:i w:val="0"/>
                <w:color w:val="000000"/>
                <w:sz w:val="20"/>
              </w:rPr>
              <w:t>Robert Ashworth</w:t>
              <w:br/>
              <w:t>2613 Paddle Wheel Dr, Nashville, TN 37214</w:t>
              <w:br/>
              <w:t>615-438-2502</w:t>
              <w:br/>
              <w:t>robertashworth4444@gmail.com</w:t>
            </w:r>
          </w:p>
        </w:tc>
      </w:tr>
      <w:tr>
        <w:tc>
          <w:tcPr>
            <w:tcW w:type="dxa" w:w="2952"/>
            <w:vAlign w:val="center"/>
            <w:shd w:fill="D9EAF7"/>
            <w:tcMar>
              <w:top w:w="80" w:type="dxa"/>
              <w:start w:w="120" w:type="dxa"/>
              <w:bottom w:w="80" w:type="dxa"/>
              <w:end w:w="120" w:type="dxa"/>
            </w:tcMar>
          </w:tcPr>
          <w:p>
            <w:pPr>
              <w:spacing w:after="0"/>
            </w:pPr>
            <w:r>
              <w:rPr>
                <w:rFonts w:ascii="Times New Roman" w:hAnsi="Times New Roman"/>
                <w:b/>
                <w:i w:val="0"/>
                <w:color w:val="000000"/>
                <w:sz w:val="20"/>
              </w:rPr>
              <w:t>Administrative POC</w:t>
            </w:r>
          </w:p>
        </w:tc>
        <w:tc>
          <w:tcPr>
            <w:tcW w:type="dxa" w:w="6408"/>
            <w:vAlign w:val="center"/>
            <w:tcMar>
              <w:top w:w="80" w:type="dxa"/>
              <w:start w:w="120" w:type="dxa"/>
              <w:bottom w:w="80" w:type="dxa"/>
              <w:end w:w="120" w:type="dxa"/>
            </w:tcMar>
          </w:tcPr>
          <w:p>
            <w:pPr>
              <w:spacing w:after="0"/>
            </w:pPr>
            <w:r>
              <w:rPr>
                <w:rFonts w:ascii="Times New Roman" w:hAnsi="Times New Roman"/>
                <w:b w:val="0"/>
                <w:i w:val="0"/>
                <w:color w:val="000000"/>
                <w:sz w:val="20"/>
              </w:rPr>
              <w:t>Robert Ashworth</w:t>
              <w:br/>
              <w:t>2613 Paddle Wheel Dr, Nashville, TN 37214</w:t>
              <w:br/>
              <w:t>615-438-2502</w:t>
              <w:br/>
              <w:t>robertashworth4444@gmail.com</w:t>
            </w:r>
          </w:p>
        </w:tc>
      </w:tr>
      <w:tr>
        <w:tc>
          <w:tcPr>
            <w:tcW w:type="dxa" w:w="2952"/>
            <w:vAlign w:val="center"/>
            <w:shd w:fill="D9EAF7"/>
            <w:tcMar>
              <w:top w:w="80" w:type="dxa"/>
              <w:start w:w="120" w:type="dxa"/>
              <w:bottom w:w="80" w:type="dxa"/>
              <w:end w:w="120" w:type="dxa"/>
            </w:tcMar>
          </w:tcPr>
          <w:p>
            <w:pPr>
              <w:spacing w:after="0"/>
            </w:pPr>
            <w:r>
              <w:rPr>
                <w:rFonts w:ascii="Times New Roman" w:hAnsi="Times New Roman"/>
                <w:b/>
                <w:i w:val="0"/>
                <w:color w:val="000000"/>
                <w:sz w:val="20"/>
              </w:rPr>
              <w:t>Other Team Members (subcontractors and consultants), if known/applicable</w:t>
            </w:r>
          </w:p>
        </w:tc>
        <w:tc>
          <w:tcPr>
            <w:tcW w:type="dxa" w:w="6408"/>
            <w:vAlign w:val="center"/>
            <w:tcMar>
              <w:top w:w="80" w:type="dxa"/>
              <w:start w:w="120" w:type="dxa"/>
              <w:bottom w:w="80" w:type="dxa"/>
              <w:end w:w="120" w:type="dxa"/>
            </w:tcMar>
          </w:tcPr>
          <w:p>
            <w:pPr>
              <w:spacing w:after="0"/>
            </w:pPr>
            <w:r>
              <w:rPr>
                <w:rFonts w:ascii="Times New Roman" w:hAnsi="Times New Roman"/>
                <w:b w:val="0"/>
                <w:i w:val="0"/>
                <w:color w:val="000000"/>
                <w:sz w:val="20"/>
              </w:rPr>
              <w:t>Not finalized at abstract stage. Planned recruitment/teaming targets: distributed-systems research lead; inference-control/mechanistic-interpretability lead; cloud/HPC engineering support; independent red-team and evaluation advisor.</w:t>
            </w:r>
          </w:p>
        </w:tc>
      </w:tr>
      <w:tr>
        <w:tc>
          <w:tcPr>
            <w:tcW w:type="dxa" w:w="2952"/>
            <w:vAlign w:val="center"/>
            <w:shd w:fill="D9EAF7"/>
            <w:tcMar>
              <w:top w:w="80" w:type="dxa"/>
              <w:start w:w="120" w:type="dxa"/>
              <w:bottom w:w="80" w:type="dxa"/>
              <w:end w:w="120" w:type="dxa"/>
            </w:tcMar>
          </w:tcPr>
          <w:p>
            <w:pPr>
              <w:spacing w:after="0"/>
            </w:pPr>
            <w:r>
              <w:rPr>
                <w:rFonts w:ascii="Times New Roman" w:hAnsi="Times New Roman"/>
                <w:b/>
                <w:i w:val="0"/>
                <w:color w:val="000000"/>
                <w:sz w:val="20"/>
              </w:rPr>
              <w:t>Award Instrument Requested</w:t>
            </w:r>
          </w:p>
        </w:tc>
        <w:tc>
          <w:tcPr>
            <w:tcW w:type="dxa" w:w="6408"/>
            <w:vAlign w:val="center"/>
            <w:tcMar>
              <w:top w:w="80" w:type="dxa"/>
              <w:start w:w="120" w:type="dxa"/>
              <w:bottom w:w="80" w:type="dxa"/>
              <w:end w:w="120" w:type="dxa"/>
            </w:tcMar>
          </w:tcPr>
          <w:p>
            <w:pPr>
              <w:spacing w:after="0"/>
            </w:pPr>
            <w:r>
              <w:rPr>
                <w:rFonts w:ascii="Times New Roman" w:hAnsi="Times New Roman"/>
                <w:b w:val="0"/>
                <w:i w:val="0"/>
                <w:color w:val="000000"/>
                <w:sz w:val="20"/>
              </w:rPr>
              <w:t>OT for Research</w:t>
            </w:r>
          </w:p>
        </w:tc>
      </w:tr>
      <w:tr>
        <w:tc>
          <w:tcPr>
            <w:tcW w:type="dxa" w:w="2952"/>
            <w:vAlign w:val="center"/>
            <w:shd w:fill="D9EAF7"/>
            <w:tcMar>
              <w:top w:w="80" w:type="dxa"/>
              <w:start w:w="120" w:type="dxa"/>
              <w:bottom w:w="80" w:type="dxa"/>
              <w:end w:w="120" w:type="dxa"/>
            </w:tcMar>
          </w:tcPr>
          <w:p>
            <w:pPr>
              <w:spacing w:after="0"/>
            </w:pPr>
            <w:r>
              <w:rPr>
                <w:rFonts w:ascii="Times New Roman" w:hAnsi="Times New Roman"/>
                <w:b/>
                <w:i w:val="0"/>
                <w:color w:val="000000"/>
                <w:sz w:val="20"/>
              </w:rPr>
              <w:t>Estimated Total Cost (Base + Options)</w:t>
            </w:r>
          </w:p>
        </w:tc>
        <w:tc>
          <w:tcPr>
            <w:tcW w:type="dxa" w:w="6408"/>
            <w:vAlign w:val="center"/>
            <w:tcMar>
              <w:top w:w="80" w:type="dxa"/>
              <w:start w:w="120" w:type="dxa"/>
              <w:bottom w:w="80" w:type="dxa"/>
              <w:end w:w="120" w:type="dxa"/>
            </w:tcMar>
          </w:tcPr>
          <w:p>
            <w:pPr>
              <w:spacing w:after="0"/>
            </w:pPr>
            <w:r>
              <w:rPr>
                <w:rFonts w:ascii="Times New Roman" w:hAnsi="Times New Roman"/>
                <w:b w:val="0"/>
                <w:i w:val="0"/>
                <w:color w:val="000000"/>
                <w:sz w:val="20"/>
              </w:rPr>
              <w:t>$4,920,000 abstract-stage ROM planning estimate; validate before full proposal</w:t>
            </w:r>
          </w:p>
        </w:tc>
      </w:tr>
      <w:tr>
        <w:tc>
          <w:tcPr>
            <w:tcW w:type="dxa" w:w="2952"/>
            <w:vAlign w:val="center"/>
            <w:shd w:fill="D9EAF7"/>
            <w:tcMar>
              <w:top w:w="80" w:type="dxa"/>
              <w:start w:w="120" w:type="dxa"/>
              <w:bottom w:w="80" w:type="dxa"/>
              <w:end w:w="120" w:type="dxa"/>
            </w:tcMar>
          </w:tcPr>
          <w:p>
            <w:pPr>
              <w:spacing w:after="0"/>
            </w:pPr>
            <w:r>
              <w:rPr>
                <w:rFonts w:ascii="Times New Roman" w:hAnsi="Times New Roman"/>
                <w:b/>
                <w:i w:val="0"/>
                <w:color w:val="000000"/>
                <w:sz w:val="20"/>
              </w:rPr>
              <w:t>Estimated Period of Performance</w:t>
            </w:r>
          </w:p>
        </w:tc>
        <w:tc>
          <w:tcPr>
            <w:tcW w:type="dxa" w:w="6408"/>
            <w:vAlign w:val="center"/>
            <w:tcMar>
              <w:top w:w="80" w:type="dxa"/>
              <w:start w:w="120" w:type="dxa"/>
              <w:bottom w:w="80" w:type="dxa"/>
              <w:end w:w="120" w:type="dxa"/>
            </w:tcMar>
          </w:tcPr>
          <w:p>
            <w:pPr>
              <w:spacing w:after="0"/>
            </w:pPr>
            <w:r>
              <w:rPr>
                <w:rFonts w:ascii="Times New Roman" w:hAnsi="Times New Roman"/>
                <w:b w:val="0"/>
                <w:i w:val="0"/>
                <w:color w:val="000000"/>
                <w:sz w:val="20"/>
              </w:rPr>
              <w:t>36 months; planning start February 1, 2027</w:t>
            </w:r>
          </w:p>
        </w:tc>
      </w:tr>
      <w:tr>
        <w:tc>
          <w:tcPr>
            <w:tcW w:type="dxa" w:w="2952"/>
            <w:vAlign w:val="center"/>
            <w:shd w:fill="D9EAF7"/>
            <w:tcMar>
              <w:top w:w="80" w:type="dxa"/>
              <w:start w:w="120" w:type="dxa"/>
              <w:bottom w:w="80" w:type="dxa"/>
              <w:end w:w="120" w:type="dxa"/>
            </w:tcMar>
          </w:tcPr>
          <w:p>
            <w:pPr>
              <w:spacing w:after="0"/>
            </w:pPr>
            <w:r>
              <w:rPr>
                <w:rFonts w:ascii="Times New Roman" w:hAnsi="Times New Roman"/>
                <w:b/>
                <w:i w:val="0"/>
                <w:color w:val="000000"/>
                <w:sz w:val="20"/>
              </w:rPr>
              <w:t>Identify any other solicitation(s) to which this concept has been proposed.</w:t>
            </w:r>
          </w:p>
        </w:tc>
        <w:tc>
          <w:tcPr>
            <w:tcW w:type="dxa" w:w="6408"/>
            <w:vAlign w:val="center"/>
            <w:tcMar>
              <w:top w:w="80" w:type="dxa"/>
              <w:start w:w="120" w:type="dxa"/>
              <w:bottom w:w="80" w:type="dxa"/>
              <w:end w:w="120" w:type="dxa"/>
            </w:tcMar>
          </w:tcPr>
          <w:p>
            <w:pPr>
              <w:spacing w:after="0"/>
            </w:pPr>
            <w:r>
              <w:rPr>
                <w:rFonts w:ascii="Times New Roman" w:hAnsi="Times New Roman"/>
                <w:b w:val="0"/>
                <w:i w:val="0"/>
                <w:color w:val="000000"/>
                <w:sz w:val="20"/>
              </w:rPr>
              <w:t>None. Related anomaly-detection work is being prepared for a distinct Navy SBIR topic and does not propose this decentralized-agent concept.</w:t>
            </w:r>
          </w:p>
        </w:tc>
      </w:tr>
      <w:tr>
        <w:tc>
          <w:tcPr>
            <w:tcW w:type="dxa" w:w="2952"/>
            <w:vAlign w:val="center"/>
            <w:shd w:fill="D9EAF7"/>
            <w:tcMar>
              <w:top w:w="80" w:type="dxa"/>
              <w:start w:w="120" w:type="dxa"/>
              <w:bottom w:w="80" w:type="dxa"/>
              <w:end w:w="120" w:type="dxa"/>
            </w:tcMar>
          </w:tcPr>
          <w:p>
            <w:pPr>
              <w:spacing w:after="0"/>
            </w:pPr>
            <w:r>
              <w:rPr>
                <w:rFonts w:ascii="Times New Roman" w:hAnsi="Times New Roman"/>
                <w:b/>
                <w:i w:val="0"/>
                <w:color w:val="000000"/>
                <w:sz w:val="20"/>
              </w:rPr>
              <w:t>SAM.gov Unique Entity ID (UEI)</w:t>
            </w:r>
          </w:p>
        </w:tc>
        <w:tc>
          <w:tcPr>
            <w:tcW w:type="dxa" w:w="6408"/>
            <w:vAlign w:val="center"/>
            <w:tcMar>
              <w:top w:w="80" w:type="dxa"/>
              <w:start w:w="120" w:type="dxa"/>
              <w:bottom w:w="80" w:type="dxa"/>
              <w:end w:w="120" w:type="dxa"/>
            </w:tcMar>
          </w:tcPr>
          <w:p>
            <w:pPr>
              <w:spacing w:after="0"/>
            </w:pPr>
            <w:r>
              <w:rPr>
                <w:rFonts w:ascii="Times New Roman" w:hAnsi="Times New Roman"/>
                <w:b w:val="0"/>
                <w:i w:val="0"/>
                <w:color w:val="000000"/>
                <w:sz w:val="20"/>
              </w:rPr>
              <w:t>SQY2XW71ZM51</w:t>
            </w:r>
          </w:p>
        </w:tc>
      </w:tr>
    </w:tbl>
    <w:p>
      <w:r>
        <w:br w:type="page"/>
      </w:r>
    </w:p>
    <w:p>
      <w:pPr>
        <w:keepNext/>
        <w:spacing w:before="240" w:after="120"/>
      </w:pPr>
      <w:r>
        <w:rPr>
          <w:rFonts w:ascii="Times New Roman" w:hAnsi="Times New Roman"/>
          <w:b/>
          <w:i w:val="0"/>
          <w:color w:val="1F4E78"/>
          <w:sz w:val="28"/>
        </w:rPr>
        <w:t>Table of Contents</w:t>
      </w:r>
    </w:p>
    <w:p>
      <w:pPr>
        <w:spacing w:after="80"/>
      </w:pPr>
      <w:r>
        <w:rPr>
          <w:rFonts w:ascii="Times New Roman" w:hAnsi="Times New Roman"/>
          <w:b w:val="0"/>
          <w:i w:val="0"/>
          <w:color w:val="000000"/>
          <w:sz w:val="24"/>
        </w:rPr>
        <w:t>1. Goals and Impact</w:t>
      </w:r>
    </w:p>
    <w:p>
      <w:pPr>
        <w:spacing w:after="80"/>
      </w:pPr>
      <w:r>
        <w:rPr>
          <w:rFonts w:ascii="Times New Roman" w:hAnsi="Times New Roman"/>
          <w:b w:val="0"/>
          <w:i w:val="0"/>
          <w:color w:val="000000"/>
          <w:sz w:val="24"/>
        </w:rPr>
        <w:t>2. Technical Approach</w:t>
      </w:r>
    </w:p>
    <w:p>
      <w:pPr>
        <w:spacing w:after="80"/>
      </w:pPr>
      <w:r>
        <w:rPr>
          <w:rFonts w:ascii="Times New Roman" w:hAnsi="Times New Roman"/>
          <w:b w:val="0"/>
          <w:i w:val="0"/>
          <w:color w:val="000000"/>
          <w:sz w:val="24"/>
        </w:rPr>
        <w:t>3. Capabilities/Management Plan</w:t>
      </w:r>
    </w:p>
    <w:p>
      <w:pPr>
        <w:spacing w:after="80"/>
      </w:pPr>
      <w:r>
        <w:rPr>
          <w:rFonts w:ascii="Times New Roman" w:hAnsi="Times New Roman"/>
          <w:b w:val="0"/>
          <w:i w:val="0"/>
          <w:color w:val="000000"/>
          <w:sz w:val="24"/>
        </w:rPr>
        <w:t>4. Cost and Schedule</w:t>
      </w:r>
    </w:p>
    <w:p>
      <w:pPr>
        <w:spacing w:after="80"/>
      </w:pPr>
      <w:r>
        <w:rPr>
          <w:rFonts w:ascii="Times New Roman" w:hAnsi="Times New Roman"/>
          <w:b w:val="0"/>
          <w:i w:val="0"/>
          <w:color w:val="000000"/>
          <w:sz w:val="24"/>
        </w:rPr>
        <w:t>5. Publications</w:t>
      </w:r>
    </w:p>
    <w:p>
      <w:pPr>
        <w:spacing w:after="80"/>
      </w:pPr>
      <w:r>
        <w:rPr>
          <w:rFonts w:ascii="Times New Roman" w:hAnsi="Times New Roman"/>
          <w:b w:val="0"/>
          <w:i w:val="0"/>
          <w:color w:val="000000"/>
          <w:sz w:val="24"/>
        </w:rPr>
        <w:t>6. Bibliography</w:t>
      </w:r>
    </w:p>
    <w:p>
      <w:r>
        <w:br w:type="page"/>
      </w:r>
    </w:p>
    <w:p>
      <w:pPr>
        <w:keepNext/>
        <w:spacing w:before="240" w:after="120"/>
      </w:pPr>
      <w:r>
        <w:rPr>
          <w:rFonts w:ascii="Times New Roman" w:hAnsi="Times New Roman"/>
          <w:b/>
          <w:i w:val="0"/>
          <w:color w:val="1F4E78"/>
          <w:sz w:val="28"/>
        </w:rPr>
        <w:t>1. Goals and Impact</w:t>
      </w:r>
    </w:p>
    <w:p>
      <w:pPr>
        <w:spacing w:after="120" w:line="240" w:lineRule="auto"/>
        <w:jc w:val="left"/>
      </w:pPr>
      <w:r>
        <w:rPr>
          <w:rFonts w:ascii="Times New Roman" w:hAnsi="Times New Roman"/>
          <w:b w:val="0"/>
          <w:i w:val="0"/>
          <w:color w:val="000000"/>
          <w:sz w:val="24"/>
        </w:rPr>
        <w:t>LumenCore proposes Coherence-Bounded Peer Mesh (CBPM), a local adaptor architecture for heterogeneous open-weight and black-box AI agents. CBPM replaces a persistent central orchestrator with sparse peer task markets, reputation-weighted context fusion, and a local inference-control loop that exposes measurable role-coherence bounds to the coordination layer. The research addresses TA1 and TA2 together because planning depth is limited by the period over which each agent can remain aligned to its assigned role.</w:t>
      </w:r>
    </w:p>
    <w:p>
      <w:pPr>
        <w:spacing w:after="120" w:line="240" w:lineRule="auto"/>
        <w:jc w:val="left"/>
      </w:pPr>
      <w:r>
        <w:rPr>
          <w:rFonts w:ascii="Times New Roman" w:hAnsi="Times New Roman"/>
          <w:b w:val="0"/>
          <w:i w:val="0"/>
          <w:color w:val="000000"/>
          <w:sz w:val="24"/>
        </w:rPr>
        <w:t>The central hypothesis is that agents can coordinate through bounded local capability advertisements and task auctions while each adaptor continuously measures role drift, mission alignment, uncertainty, and behavioral diversity. When the controller detects drift or compromised behavior, it can repair context, constrain tools, challenge a commitment, reduce reputation, re-auction the task, or isolate the agent without globally replanning the mission.</w:t>
      </w:r>
    </w:p>
    <w:p>
      <w:pPr>
        <w:spacing w:after="120" w:line="240" w:lineRule="auto"/>
        <w:jc w:val="left"/>
      </w:pPr>
      <w:r>
        <w:rPr>
          <w:rFonts w:ascii="Times New Roman" w:hAnsi="Times New Roman"/>
          <w:b w:val="0"/>
          <w:i w:val="0"/>
          <w:color w:val="000000"/>
          <w:sz w:val="24"/>
        </w:rPr>
        <w:t>If successful, CBPM will improve the number of agents and mission interactions that can be coordinated, reduce messages required to recover from node failure or deception, sustain role coherence over longer interaction horizons, and preserve multiple viable courses of action. The target progression is the DICE scale of 500 agents and 5,000 messages in Phase 1, 5,000 agents and 50,000 messages in Phase 2, and 100,000 agents and 1 million messages in Phase 3.</w:t>
      </w:r>
    </w:p>
    <w:p>
      <w:pPr>
        <w:spacing w:after="120" w:line="240" w:lineRule="auto"/>
        <w:jc w:val="left"/>
      </w:pPr>
      <w:r>
        <w:rPr>
          <w:rFonts w:ascii="Times New Roman" w:hAnsi="Times New Roman"/>
          <w:b w:val="0"/>
          <w:i w:val="0"/>
          <w:color w:val="000000"/>
          <w:sz w:val="24"/>
        </w:rPr>
        <w:t>The innovation is not a new orchestration wrapper or a static system prompt. It is a coupled coordination-control mechanism: TA1 consumes explicit coherence-horizon and confidence bounds from TA2; TA2 derives control targets from the current task contract, local dependencies, and mission constraints. Every local decision produces an auditable event record suitable for failure analysis without requiring a central authority to approve normal coordination.</w:t>
      </w:r>
    </w:p>
    <w:p>
      <w:pPr>
        <w:keepNext/>
        <w:spacing w:before="240" w:after="120"/>
      </w:pPr>
      <w:r>
        <w:rPr>
          <w:rFonts w:ascii="Times New Roman" w:hAnsi="Times New Roman"/>
          <w:b/>
          <w:i w:val="0"/>
          <w:color w:val="1F4E78"/>
          <w:sz w:val="28"/>
        </w:rPr>
        <w:t>2. Technical Approach</w:t>
      </w:r>
    </w:p>
    <w:p>
      <w:pPr>
        <w:keepNext/>
        <w:spacing w:before="160" w:after="80"/>
      </w:pPr>
      <w:r>
        <w:rPr>
          <w:rFonts w:ascii="Times New Roman" w:hAnsi="Times New Roman"/>
          <w:b/>
          <w:i w:val="0"/>
          <w:color w:val="1F4E78"/>
          <w:sz w:val="24"/>
        </w:rPr>
        <w:t>2.1 Local Adaptor and Interfaces</w:t>
      </w:r>
    </w:p>
    <w:p>
      <w:pPr>
        <w:spacing w:after="120" w:line="240" w:lineRule="auto"/>
        <w:jc w:val="left"/>
      </w:pPr>
      <w:r>
        <w:rPr>
          <w:rFonts w:ascii="Times New Roman" w:hAnsi="Times New Roman"/>
          <w:b w:val="0"/>
          <w:i w:val="0"/>
          <w:color w:val="000000"/>
          <w:sz w:val="24"/>
        </w:rPr>
        <w:t>Each agent receives a CBPM adaptor with four modules: (1) a capability and constraint descriptor; (2) a sparse peer task-market client; (3) a reputation-weighted context and commitment store; and (4) a local inference controller. The common adaptor interface accepts mission fragments, proposed task contracts, evidence packets, role constraints, and tool policies, and returns bids, commitments, confidence, coherence bounds, execution evidence, and challenge responses.</w:t>
      </w:r>
    </w:p>
    <w:p>
      <w:pPr>
        <w:spacing w:after="120" w:line="240" w:lineRule="auto"/>
        <w:jc w:val="left"/>
      </w:pPr>
      <w:r>
        <w:rPr>
          <w:rFonts w:ascii="Times New Roman" w:hAnsi="Times New Roman"/>
          <w:b w:val="0"/>
          <w:i w:val="0"/>
          <w:color w:val="000000"/>
          <w:sz w:val="24"/>
        </w:rPr>
        <w:t>For black-box agents, the controller operates through context engineering, structured memory, tool permissions, response contracts, counterfactual self-checks, and local critique. For open-weight agents, the same interface adds optional representation and activation monitors. The adaptor will support A2A- and MCP-compatible transports while keeping the coordination algorithm independent of any single agent framework.</w:t>
      </w:r>
    </w:p>
    <w:p>
      <w:pPr>
        <w:keepNext/>
        <w:spacing w:before="160" w:after="80"/>
      </w:pPr>
      <w:r>
        <w:rPr>
          <w:rFonts w:ascii="Times New Roman" w:hAnsi="Times New Roman"/>
          <w:b/>
          <w:i w:val="0"/>
          <w:color w:val="1F4E78"/>
          <w:sz w:val="24"/>
        </w:rPr>
        <w:t>2.2 TA1: Sparse Task Markets and Resilient Context Fusion</w:t>
      </w:r>
    </w:p>
    <w:p>
      <w:pPr>
        <w:numPr>
          <w:ilvl w:val="0"/>
          <w:numId w:val="13"/>
        </w:numPr>
        <w:spacing w:after="60" w:line="240" w:lineRule="auto"/>
      </w:pPr>
      <w:r>
        <w:rPr>
          <w:rFonts w:ascii="Times New Roman" w:hAnsi="Times New Roman"/>
          <w:b w:val="0"/>
          <w:i w:val="0"/>
          <w:color w:val="000000"/>
          <w:sz w:val="24"/>
        </w:rPr>
        <w:t>Mission propagation and decomposition. Agents advertise compact, signed capability summaries to bounded neighborhoods. A receiving agent may accept a mission fragment, decompose it, or forward an unclaimed remainder. Task contracts carry prerequisites, evidence requirements, deadlines, expected message cost, and the minimum TA2 coherence horizon.</w:t>
      </w:r>
    </w:p>
    <w:p>
      <w:pPr>
        <w:numPr>
          <w:ilvl w:val="0"/>
          <w:numId w:val="13"/>
        </w:numPr>
        <w:spacing w:after="60" w:line="240" w:lineRule="auto"/>
      </w:pPr>
      <w:r>
        <w:rPr>
          <w:rFonts w:ascii="Times New Roman" w:hAnsi="Times New Roman"/>
          <w:b w:val="0"/>
          <w:i w:val="0"/>
          <w:color w:val="000000"/>
          <w:sz w:val="24"/>
        </w:rPr>
        <w:t>Local auction and consensus. Candidate agents bid using capability fit, current load, evidence quality, expected cost, and locally maintained reputation. Selection uses a quorum of independent neighborhood observations rather than a global leader. The research will compare deterministic, probabilistic, and game-theoretic selection rules.</w:t>
      </w:r>
    </w:p>
    <w:p>
      <w:pPr>
        <w:numPr>
          <w:ilvl w:val="0"/>
          <w:numId w:val="13"/>
        </w:numPr>
        <w:spacing w:after="60" w:line="240" w:lineRule="auto"/>
      </w:pPr>
      <w:r>
        <w:rPr>
          <w:rFonts w:ascii="Times New Roman" w:hAnsi="Times New Roman"/>
          <w:b w:val="0"/>
          <w:i w:val="0"/>
          <w:color w:val="000000"/>
          <w:sz w:val="24"/>
        </w:rPr>
        <w:t>Failure and compromise response. Failed commitments trigger local challenge and re-auction. Contradictory evidence is retained as competing hypotheses with source-specific confidence. Agents that repeatedly provide unverifiable, strategically timed, or mutually inconsistent commitments are discounted or isolated. Limits will be measured as a function of compromised fraction, collusion topology, communication delay, and neighborhood degree.</w:t>
      </w:r>
    </w:p>
    <w:p>
      <w:pPr>
        <w:numPr>
          <w:ilvl w:val="0"/>
          <w:numId w:val="13"/>
        </w:numPr>
        <w:spacing w:after="60" w:line="240" w:lineRule="auto"/>
      </w:pPr>
      <w:r>
        <w:rPr>
          <w:rFonts w:ascii="Times New Roman" w:hAnsi="Times New Roman"/>
          <w:b w:val="0"/>
          <w:i w:val="0"/>
          <w:color w:val="000000"/>
          <w:sz w:val="24"/>
        </w:rPr>
        <w:t>Sparse adaptation. Capability caches and dependency-local replanning target communication growth from an initial bounded neighborhood regime toward O(n log n) and O(n) message behavior as scale increases. The proposal will measure mission success, coordination stability, message count, and recovery messages rather than claiming asymptotic performance from implementation form.</w:t>
      </w:r>
    </w:p>
    <w:p>
      <w:pPr>
        <w:keepNext/>
        <w:spacing w:before="160" w:after="80"/>
      </w:pPr>
      <w:r>
        <w:rPr>
          <w:rFonts w:ascii="Times New Roman" w:hAnsi="Times New Roman"/>
          <w:b/>
          <w:i w:val="0"/>
          <w:color w:val="1F4E78"/>
          <w:sz w:val="24"/>
        </w:rPr>
        <w:t>2.3 TA2: Coherence-Bounded Local Inference Control</w:t>
      </w:r>
    </w:p>
    <w:p>
      <w:pPr>
        <w:numPr>
          <w:ilvl w:val="0"/>
          <w:numId w:val="13"/>
        </w:numPr>
        <w:spacing w:after="60" w:line="240" w:lineRule="auto"/>
      </w:pPr>
      <w:r>
        <w:rPr>
          <w:rFonts w:ascii="Times New Roman" w:hAnsi="Times New Roman"/>
          <w:b w:val="0"/>
          <w:i w:val="0"/>
          <w:color w:val="000000"/>
          <w:sz w:val="24"/>
        </w:rPr>
        <w:t>Role contract. Each task establishes an explicit role vector containing allowed objectives, prohibited actions, information boundaries, required evidence, dependencies, and expiration conditions.</w:t>
      </w:r>
    </w:p>
    <w:p>
      <w:pPr>
        <w:numPr>
          <w:ilvl w:val="0"/>
          <w:numId w:val="13"/>
        </w:numPr>
        <w:spacing w:after="60" w:line="240" w:lineRule="auto"/>
      </w:pPr>
      <w:r>
        <w:rPr>
          <w:rFonts w:ascii="Times New Roman" w:hAnsi="Times New Roman"/>
          <w:b w:val="0"/>
          <w:i w:val="0"/>
          <w:color w:val="000000"/>
          <w:sz w:val="24"/>
        </w:rPr>
        <w:t>Runtime monitor. The adaptor estimates role drift, goal drift, context conflict, uncertainty, and behavioral-collapse risk at each inference step. Black-box agents are measured through observable commitments and counterfactual probes; open-weight agents may additionally expose activation-space signals.</w:t>
      </w:r>
    </w:p>
    <w:p>
      <w:pPr>
        <w:numPr>
          <w:ilvl w:val="0"/>
          <w:numId w:val="13"/>
        </w:numPr>
        <w:spacing w:after="60" w:line="240" w:lineRule="auto"/>
      </w:pPr>
      <w:r>
        <w:rPr>
          <w:rFonts w:ascii="Times New Roman" w:hAnsi="Times New Roman"/>
          <w:b w:val="0"/>
          <w:i w:val="0"/>
          <w:color w:val="000000"/>
          <w:sz w:val="24"/>
        </w:rPr>
        <w:t>Controller. Interventions escalate from context repair and memory pruning to tool restriction, commitment challenge, role reassignment, or local isolation. The controller reports a finite coherence horizon and confidence to TA1 instead of asserting permanent alignment.</w:t>
      </w:r>
    </w:p>
    <w:p>
      <w:pPr>
        <w:numPr>
          <w:ilvl w:val="0"/>
          <w:numId w:val="13"/>
        </w:numPr>
        <w:spacing w:after="60" w:line="240" w:lineRule="auto"/>
      </w:pPr>
      <w:r>
        <w:rPr>
          <w:rFonts w:ascii="Times New Roman" w:hAnsi="Times New Roman"/>
          <w:b w:val="0"/>
          <w:i w:val="0"/>
          <w:color w:val="000000"/>
          <w:sz w:val="24"/>
        </w:rPr>
        <w:t>Cognitive agility. The evaluation will preserve multiple admissible courses of action and quantify diversity, novelty, and mission success. A controller that maximizes role conformity by collapsing every agent to one answer will fail the agility requirement.</w:t>
      </w:r>
    </w:p>
    <w:p>
      <w:pPr>
        <w:keepNext/>
        <w:spacing w:before="160" w:after="80"/>
      </w:pPr>
      <w:r>
        <w:rPr>
          <w:rFonts w:ascii="Times New Roman" w:hAnsi="Times New Roman"/>
          <w:b/>
          <w:i w:val="0"/>
          <w:color w:val="1F4E78"/>
          <w:sz w:val="24"/>
        </w:rPr>
        <w:t>2.4 Preliminary Synthetic Feasibility Evidence</w:t>
      </w:r>
    </w:p>
    <w:p>
      <w:pPr>
        <w:spacing w:after="120" w:line="240" w:lineRule="auto"/>
        <w:jc w:val="left"/>
      </w:pPr>
      <w:r>
        <w:rPr>
          <w:rFonts w:ascii="Times New Roman" w:hAnsi="Times New Roman"/>
          <w:b w:val="0"/>
          <w:i w:val="0"/>
          <w:color w:val="000000"/>
          <w:sz w:val="24"/>
        </w:rPr>
        <w:t>A deterministic discrete-event harness was frozen on June 13, 2026 to test the measurement plan before proposal drafting. Across 200 paired seeds, each trial used 500 stochastic task executors, 1,200 tasks, 12 roles, 10% failed agents, and 5% compromised agents. Compared with a centralized assignment baseline, a cached-capability peer auction with local reputation and role repair maintained essentially identical mission completion while reducing mean coordination messages by 31.5% (95% bootstrap CI 31.3%-31.7%), reducing recovery messages by 40.1% (39.7%-40.5%), and improving observed role coherence by 6.45 percentage points (6.24-6.69).</w:t>
      </w:r>
    </w:p>
    <w:p>
      <w:pPr>
        <w:spacing w:after="120" w:line="240" w:lineRule="auto"/>
        <w:jc w:val="left"/>
      </w:pPr>
      <w:r>
        <w:rPr>
          <w:rFonts w:ascii="Times New Roman" w:hAnsi="Times New Roman"/>
          <w:b w:val="0"/>
          <w:i w:val="0"/>
          <w:color w:val="000000"/>
          <w:sz w:val="24"/>
        </w:rPr>
        <w:t>Scale stress checks then executed 50 paired trials with 5,000 agents and 15,000 tasks, and five paired trials with 100,000 agents and 250,000 tasks. At 5,000 agents, the peer protocol reduced messages by 31.8% and recovery messages by 33.4%; at 100,000 agents, it reduced messages by 30.1% and recovery messages by 38.3%. Mean mission-success differences were near zero and their bootstrap intervals crossed zero at both scales. The 100,000-agent peer run averaged approximately 734,102 messages, below the DICE notional one-million-message scale, but with simplified stochastic executors.</w:t>
      </w:r>
    </w:p>
    <w:p>
      <w:pPr>
        <w:spacing w:after="120" w:line="240" w:lineRule="auto"/>
        <w:jc w:val="left"/>
      </w:pPr>
      <w:r>
        <w:rPr>
          <w:rFonts w:ascii="Times New Roman" w:hAnsi="Times New Roman"/>
          <w:b w:val="0"/>
          <w:i w:val="0"/>
          <w:color w:val="000000"/>
          <w:sz w:val="24"/>
        </w:rPr>
        <w:t>A disjoint constraint-contract ablation then compared peer reputation with bids carrying explicit role, horizon, evidence-lineage, expiration, and risk fields. Across 30 validation scenarios per condition with 500 agents and 1,200 tasks, the contract method improved safe completion by 4.16 percentage points in benign conditions (95% paired bootstrap CI 3.84-4.46), 3.52 points under 10% independent compromise (3.04-3.98), 3.50 points under 10% collusion (3.05-3.96), 2.10 points under monitor shift (1.69-2.49), and 1.35 points under 25% high collusion (0.95-1.75). Modeled constraint violations fell by 5.66-7.24 points and messages per safe completion fell by 1.07-1.81. The tradeoff was a 2.5-4.5 point reduction in raw completion from deterministic rejection, with false rejection reaching 11.38% under monitor shift. Under high collusion, compromised assignments increased by 0.96 points because locally consistent forgeries passed field checks. Contract fields were piggybacked on existing messages; byte, latency, and cryptographic costs were not measured.</w:t>
      </w:r>
    </w:p>
    <w:p>
      <w:pPr>
        <w:spacing w:after="120" w:line="240" w:lineRule="auto"/>
        <w:jc w:val="left"/>
      </w:pPr>
      <w:r>
        <w:rPr>
          <w:rFonts w:ascii="Times New Roman" w:hAnsi="Times New Roman"/>
          <w:b/>
          <w:i w:val="0"/>
          <w:color w:val="000000"/>
          <w:sz w:val="24"/>
        </w:rPr>
        <w:t>Evidence boundary:</w:t>
      </w:r>
      <w:r>
        <w:rPr>
          <w:rFonts w:ascii="Times New Roman" w:hAnsi="Times New Roman"/>
          <w:b w:val="0"/>
          <w:i w:val="0"/>
          <w:color w:val="000000"/>
          <w:sz w:val="24"/>
        </w:rPr>
        <w:t xml:space="preserve"> these agents are stochastic task executors, not language models. The result demonstrates only that the proposed metrics and a narrow protocol hypothesis can be evaluated reproducibly. It does not establish DICE program metric attainment, foundation-model inference at these scales, operational performance, or adversarial security. Inputs, source commit, trial CSVs, scorecards, and SHA-256 manifests are retained for audit.</w:t>
      </w:r>
    </w:p>
    <w:p>
      <w:pPr>
        <w:keepNext/>
        <w:spacing w:before="160" w:after="80"/>
      </w:pPr>
      <w:r>
        <w:rPr>
          <w:rFonts w:ascii="Times New Roman" w:hAnsi="Times New Roman"/>
          <w:b/>
          <w:i w:val="0"/>
          <w:color w:val="1F4E78"/>
          <w:sz w:val="24"/>
        </w:rPr>
        <w:t>2.5 Experimental Plan and Risks</w:t>
      </w:r>
    </w:p>
    <w:p>
      <w:pPr>
        <w:numPr>
          <w:ilvl w:val="0"/>
          <w:numId w:val="13"/>
        </w:numPr>
        <w:spacing w:after="60" w:line="240" w:lineRule="auto"/>
      </w:pPr>
      <w:r>
        <w:rPr>
          <w:rFonts w:ascii="Times New Roman" w:hAnsi="Times New Roman"/>
          <w:b w:val="0"/>
          <w:i w:val="0"/>
          <w:color w:val="000000"/>
          <w:sz w:val="24"/>
        </w:rPr>
        <w:t>Phase 1: implement the adaptor, establish centralized and decentralized SOTA baselines, test 500 heterogeneous agents, and demonstrate integration with the TA3 interface. Preregister mission, message, recovery, coherence, alignment, agility, latency, and cost metrics.</w:t>
      </w:r>
    </w:p>
    <w:p>
      <w:pPr>
        <w:numPr>
          <w:ilvl w:val="0"/>
          <w:numId w:val="13"/>
        </w:numPr>
        <w:spacing w:after="60" w:line="240" w:lineRule="auto"/>
      </w:pPr>
      <w:r>
        <w:rPr>
          <w:rFonts w:ascii="Times New Roman" w:hAnsi="Times New Roman"/>
          <w:b w:val="0"/>
          <w:i w:val="0"/>
          <w:color w:val="000000"/>
          <w:sz w:val="24"/>
        </w:rPr>
        <w:t>Phase 2: add Byzantine behavior, delayed and deceptive context, collusion, prompt infection, strategic failure timing, and adaptive reputation attacks. Estimate breakdown points and false-isolation rates rather than assuming perfect threat detection.</w:t>
      </w:r>
    </w:p>
    <w:p>
      <w:pPr>
        <w:numPr>
          <w:ilvl w:val="0"/>
          <w:numId w:val="13"/>
        </w:numPr>
        <w:spacing w:after="60" w:line="240" w:lineRule="auto"/>
      </w:pPr>
      <w:r>
        <w:rPr>
          <w:rFonts w:ascii="Times New Roman" w:hAnsi="Times New Roman"/>
          <w:b w:val="0"/>
          <w:i w:val="0"/>
          <w:color w:val="000000"/>
          <w:sz w:val="24"/>
        </w:rPr>
        <w:t>Phase 3: move to event-driven inference, hierarchical sparse neighborhoods, and 100,000-agent scale. Demonstrate recovery and mission continuity under the TA3 team-versus-team evaluation.</w:t>
      </w:r>
    </w:p>
    <w:p>
      <w:pPr>
        <w:numPr>
          <w:ilvl w:val="0"/>
          <w:numId w:val="13"/>
        </w:numPr>
        <w:spacing w:after="60" w:line="240" w:lineRule="auto"/>
      </w:pPr>
      <w:r>
        <w:rPr>
          <w:rFonts w:ascii="Times New Roman" w:hAnsi="Times New Roman"/>
          <w:b w:val="0"/>
          <w:i w:val="0"/>
          <w:color w:val="000000"/>
          <w:sz w:val="24"/>
        </w:rPr>
        <w:t>Primary risks are communication cascades, colluding agents manipulating local reputation, controllers suppressing useful novelty, non-transfer of open-weight signals to black-box models, and compute cost. Mitigations include bounded neighborhoods, independent evidence challenges, diversity floors, observable-behavior fallbacks, event-driven inference, small reasoning models, and staged scale gates.</w:t>
      </w:r>
    </w:p>
    <w:p>
      <w:pPr>
        <w:keepNext/>
        <w:spacing w:before="160" w:after="80"/>
      </w:pPr>
      <w:r>
        <w:rPr>
          <w:rFonts w:ascii="Times New Roman" w:hAnsi="Times New Roman"/>
          <w:b/>
          <w:i w:val="0"/>
          <w:color w:val="1F4E78"/>
          <w:sz w:val="24"/>
        </w:rPr>
        <w:t>2.6 Existing Capabilities, Repositories, and Compute</w:t>
      </w:r>
    </w:p>
    <w:p>
      <w:pPr>
        <w:spacing w:after="120" w:line="240" w:lineRule="auto"/>
        <w:jc w:val="left"/>
      </w:pPr>
      <w:r>
        <w:rPr>
          <w:rFonts w:ascii="Times New Roman" w:hAnsi="Times New Roman"/>
          <w:b w:val="0"/>
          <w:i w:val="0"/>
          <w:color w:val="000000"/>
          <w:sz w:val="24"/>
        </w:rPr>
        <w:t>Existing software capabilities include a Python/FastAPI human-approval hub, centralized multi-engine orchestration, fail-closed runtime controls, streaming anomaly detection, walk-forward benchmarking, and SHA-256 evidence manifests. A public demonstration and evidence portal is available at https://lumen-core.ai and the public repository is available at https://github.com/robertashworth1986-debug/lumen-core-public with MIT-licensed public code; proposal-specific adaptor research and data-rights assertions will be identified in the full proposal.</w:t>
      </w:r>
    </w:p>
    <w:p>
      <w:pPr>
        <w:spacing w:after="120" w:line="240" w:lineRule="auto"/>
        <w:jc w:val="left"/>
      </w:pPr>
      <w:r>
        <w:rPr>
          <w:rFonts w:ascii="Times New Roman" w:hAnsi="Times New Roman"/>
          <w:b w:val="0"/>
          <w:i w:val="0"/>
          <w:color w:val="000000"/>
          <w:sz w:val="24"/>
        </w:rPr>
        <w:t>Current local compute is an HP OMEN laptop with an Intel Core Ultra 9 185H (16 cores/22 logical processors), approximately 32 GB RAM, and an NVIDIA RTX 4070 Laptop GPU. This is sufficient for development, discrete-event simulation, small-model experiments, and interface testing but not for program-scale foundation-model inference. The cost plan therefore includes elastic cloud GPU capacity, object storage, experiment tracking, and checkpointed event-driven simulation. The team will benchmark vLLM or equivalent efficient inference stacks and use smaller reasoning models where fidelity permits.</w:t>
      </w:r>
    </w:p>
    <w:p>
      <w:pPr>
        <w:keepNext/>
        <w:spacing w:before="240" w:after="120"/>
      </w:pPr>
      <w:r>
        <w:rPr>
          <w:rFonts w:ascii="Times New Roman" w:hAnsi="Times New Roman"/>
          <w:b/>
          <w:i w:val="0"/>
          <w:color w:val="1F4E78"/>
          <w:sz w:val="28"/>
        </w:rPr>
        <w:t>3. Capabilities/Management Plan</w:t>
      </w:r>
    </w:p>
    <w:p>
      <w:pPr>
        <w:spacing w:after="120" w:line="240" w:lineRule="auto"/>
        <w:jc w:val="left"/>
      </w:pPr>
      <w:r>
        <w:rPr>
          <w:rFonts w:ascii="Times New Roman" w:hAnsi="Times New Roman"/>
          <w:b w:val="0"/>
          <w:i w:val="0"/>
          <w:color w:val="000000"/>
          <w:sz w:val="24"/>
        </w:rPr>
        <w:t>Robert Ashworth will serve as Principal Investigator and system architect. He has built the existing orchestration, evidence, validation, deployment, and human-approval components and will own adaptor architecture, experimental reproducibility, and integration. The current organization is a one-person small business; this is a material execution risk, not a hidden assumption.</w:t>
      </w:r>
    </w:p>
    <w:p>
      <w:pPr>
        <w:spacing w:after="120" w:line="240" w:lineRule="auto"/>
        <w:jc w:val="left"/>
      </w:pPr>
      <w:r>
        <w:rPr>
          <w:rFonts w:ascii="Times New Roman" w:hAnsi="Times New Roman"/>
          <w:b w:val="0"/>
          <w:i w:val="0"/>
          <w:color w:val="000000"/>
          <w:sz w:val="24"/>
        </w:rPr>
        <w:t>Before a full proposal, LumenCore will seek named commitments for three complementary roles: distributed systems and Byzantine consensus; inference-time control and mechanistic interpretability; and scalable cloud/HPC simulation. An independent red-team/evaluation advisor will review adversarial design and claim boundaries. Teaming arrangements are not asserted as final in this abstract.</w:t>
      </w:r>
    </w:p>
    <w:p>
      <w:pPr>
        <w:spacing w:after="120" w:line="240" w:lineRule="auto"/>
        <w:jc w:val="left"/>
      </w:pPr>
      <w:r>
        <w:rPr>
          <w:rFonts w:ascii="Times New Roman" w:hAnsi="Times New Roman"/>
          <w:b w:val="0"/>
          <w:i w:val="0"/>
          <w:color w:val="000000"/>
          <w:sz w:val="24"/>
        </w:rPr>
        <w:t>The program will use phase-gated technical reviews, frozen experiment manifests, paired baselines, independent reruns, and a risk register tied to measurable exit criteria. External submissions, release of proprietary artifacts, and changes to security posture remain human-approved. TA1 and TA2 work is proposed at the Unclassified level. The full proposal will select an award vehicle and information boundary consistent with actual FCI/CUI handling and verified CMMC status.</w:t>
      </w:r>
    </w:p>
    <w:p>
      <w:pPr>
        <w:keepNext/>
        <w:spacing w:before="240" w:after="120"/>
      </w:pPr>
      <w:r>
        <w:rPr>
          <w:rFonts w:ascii="Times New Roman" w:hAnsi="Times New Roman"/>
          <w:b/>
          <w:i w:val="0"/>
          <w:color w:val="1F4E78"/>
          <w:sz w:val="28"/>
        </w:rPr>
        <w:t>4. Cost and Schedule</w:t>
      </w:r>
    </w:p>
    <w:p>
      <w:pPr>
        <w:spacing w:after="120" w:line="240" w:lineRule="auto"/>
        <w:jc w:val="left"/>
      </w:pPr>
      <w:r>
        <w:rPr>
          <w:rFonts w:ascii="Times New Roman" w:hAnsi="Times New Roman"/>
          <w:b w:val="0"/>
          <w:i w:val="0"/>
          <w:color w:val="000000"/>
          <w:sz w:val="24"/>
        </w:rPr>
        <w:t>The following is an abstract-stage ROM planning estimate, not a certified cost proposal or reviewed cost volume. The provisional basis is 21,060 direct labor hours at a $100/hour blended direct rate, 25% fringe, 28% combined overhead/G&amp;A on labor plus fringe, $350,000 of specialized subaward/consultant effort, $1,040,000 of cloud/HPC, $80,000 of travel, and $80,000 of software/data/equipment. Rates, indirect costs, subaward scopes, resource-sharing terms, and vendor quotations must be validated before any full-proposal cost submission.</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936"/>
            <w:vAlign w:val="center"/>
            <w:tcMar>
              <w:top w:w="60" w:type="dxa"/>
              <w:start w:w="70" w:type="dxa"/>
              <w:bottom w:w="60" w:type="dxa"/>
              <w:end w:w="70" w:type="dxa"/>
            </w:tcMar>
            <w:shd w:fill="D9EAF7"/>
          </w:tcPr>
          <w:p>
            <w:pPr>
              <w:spacing w:after="0"/>
              <w:jc w:val="center"/>
            </w:pPr>
            <w:r>
              <w:rPr>
                <w:rFonts w:ascii="Times New Roman" w:hAnsi="Times New Roman"/>
                <w:b/>
                <w:i w:val="0"/>
                <w:color w:val="000000"/>
                <w:sz w:val="18"/>
              </w:rPr>
              <w:t>Phase</w:t>
            </w:r>
          </w:p>
        </w:tc>
        <w:tc>
          <w:tcPr>
            <w:tcW w:type="dxa" w:w="936"/>
            <w:vAlign w:val="center"/>
            <w:tcMar>
              <w:top w:w="60" w:type="dxa"/>
              <w:start w:w="70" w:type="dxa"/>
              <w:bottom w:w="60" w:type="dxa"/>
              <w:end w:w="70" w:type="dxa"/>
            </w:tcMar>
            <w:shd w:fill="D9EAF7"/>
          </w:tcPr>
          <w:p>
            <w:pPr>
              <w:spacing w:after="0"/>
              <w:jc w:val="center"/>
            </w:pPr>
            <w:r>
              <w:rPr>
                <w:rFonts w:ascii="Times New Roman" w:hAnsi="Times New Roman"/>
                <w:b/>
                <w:i w:val="0"/>
                <w:color w:val="000000"/>
                <w:sz w:val="18"/>
              </w:rPr>
              <w:t>Months</w:t>
            </w:r>
          </w:p>
        </w:tc>
        <w:tc>
          <w:tcPr>
            <w:tcW w:type="dxa" w:w="4320"/>
            <w:vAlign w:val="center"/>
            <w:tcMar>
              <w:top w:w="60" w:type="dxa"/>
              <w:start w:w="70" w:type="dxa"/>
              <w:bottom w:w="60" w:type="dxa"/>
              <w:end w:w="70" w:type="dxa"/>
            </w:tcMar>
            <w:shd w:fill="D9EAF7"/>
          </w:tcPr>
          <w:p>
            <w:pPr>
              <w:spacing w:after="0"/>
              <w:jc w:val="left"/>
            </w:pPr>
            <w:r>
              <w:rPr>
                <w:rFonts w:ascii="Times New Roman" w:hAnsi="Times New Roman"/>
                <w:b/>
                <w:i w:val="0"/>
                <w:color w:val="000000"/>
                <w:sz w:val="18"/>
              </w:rPr>
              <w:t>Program focus</w:t>
            </w:r>
          </w:p>
        </w:tc>
        <w:tc>
          <w:tcPr>
            <w:tcW w:type="dxa" w:w="1584"/>
            <w:vAlign w:val="center"/>
            <w:tcMar>
              <w:top w:w="60" w:type="dxa"/>
              <w:start w:w="70" w:type="dxa"/>
              <w:bottom w:w="60" w:type="dxa"/>
              <w:end w:w="70" w:type="dxa"/>
            </w:tcMar>
            <w:shd w:fill="D9EAF7"/>
          </w:tcPr>
          <w:p>
            <w:pPr>
              <w:spacing w:after="0"/>
              <w:jc w:val="center"/>
            </w:pPr>
            <w:r>
              <w:rPr>
                <w:rFonts w:ascii="Times New Roman" w:hAnsi="Times New Roman"/>
                <w:b/>
                <w:i w:val="0"/>
                <w:color w:val="000000"/>
                <w:sz w:val="18"/>
              </w:rPr>
              <w:t>Total</w:t>
            </w:r>
          </w:p>
        </w:tc>
        <w:tc>
          <w:tcPr>
            <w:tcW w:type="dxa" w:w="1584"/>
            <w:vAlign w:val="center"/>
            <w:tcMar>
              <w:top w:w="60" w:type="dxa"/>
              <w:start w:w="70" w:type="dxa"/>
              <w:bottom w:w="60" w:type="dxa"/>
              <w:end w:w="70" w:type="dxa"/>
            </w:tcMar>
            <w:shd w:fill="D9EAF7"/>
          </w:tcPr>
          <w:p>
            <w:pPr>
              <w:spacing w:after="0"/>
              <w:jc w:val="center"/>
            </w:pPr>
            <w:r>
              <w:rPr>
                <w:rFonts w:ascii="Times New Roman" w:hAnsi="Times New Roman"/>
                <w:b/>
                <w:i w:val="0"/>
                <w:color w:val="000000"/>
                <w:sz w:val="18"/>
              </w:rPr>
              <w:t>Compute included</w:t>
            </w:r>
          </w:p>
        </w:tc>
      </w:tr>
      <w:tr>
        <w:tc>
          <w:tcPr>
            <w:tcW w:type="dxa" w:w="936"/>
            <w:vAlign w:val="center"/>
            <w:tcMar>
              <w:top w:w="60" w:type="dxa"/>
              <w:start w:w="70" w:type="dxa"/>
              <w:bottom w:w="60" w:type="dxa"/>
              <w:end w:w="70" w:type="dxa"/>
            </w:tcMar>
          </w:tcPr>
          <w:p>
            <w:pPr>
              <w:spacing w:after="0"/>
              <w:jc w:val="center"/>
            </w:pPr>
            <w:r>
              <w:rPr>
                <w:rFonts w:ascii="Times New Roman" w:hAnsi="Times New Roman"/>
                <w:b w:val="0"/>
                <w:i w:val="0"/>
                <w:color w:val="000000"/>
                <w:sz w:val="18"/>
              </w:rPr>
              <w:t>1</w:t>
            </w:r>
          </w:p>
        </w:tc>
        <w:tc>
          <w:tcPr>
            <w:tcW w:type="dxa" w:w="936"/>
            <w:vAlign w:val="center"/>
            <w:tcMar>
              <w:top w:w="60" w:type="dxa"/>
              <w:start w:w="70" w:type="dxa"/>
              <w:bottom w:w="60" w:type="dxa"/>
              <w:end w:w="70" w:type="dxa"/>
            </w:tcMar>
          </w:tcPr>
          <w:p>
            <w:pPr>
              <w:spacing w:after="0"/>
              <w:jc w:val="center"/>
            </w:pPr>
            <w:r>
              <w:rPr>
                <w:rFonts w:ascii="Times New Roman" w:hAnsi="Times New Roman"/>
                <w:b w:val="0"/>
                <w:i w:val="0"/>
                <w:color w:val="000000"/>
                <w:sz w:val="18"/>
              </w:rPr>
              <w:t>1-9</w:t>
            </w:r>
          </w:p>
        </w:tc>
        <w:tc>
          <w:tcPr>
            <w:tcW w:type="dxa" w:w="4320"/>
            <w:vAlign w:val="center"/>
            <w:tcMar>
              <w:top w:w="60" w:type="dxa"/>
              <w:start w:w="70" w:type="dxa"/>
              <w:bottom w:w="60" w:type="dxa"/>
              <w:end w:w="70" w:type="dxa"/>
            </w:tcMar>
          </w:tcPr>
          <w:p>
            <w:pPr>
              <w:spacing w:after="0"/>
              <w:jc w:val="left"/>
            </w:pPr>
            <w:r>
              <w:rPr>
                <w:rFonts w:ascii="Times New Roman" w:hAnsi="Times New Roman"/>
                <w:b w:val="0"/>
                <w:i w:val="0"/>
                <w:color w:val="000000"/>
                <w:sz w:val="18"/>
              </w:rPr>
              <w:t>Adaptor, baselines, 500-agent evaluation</w:t>
            </w:r>
          </w:p>
        </w:tc>
        <w:tc>
          <w:tcPr>
            <w:tcW w:type="dxa" w:w="1584"/>
            <w:vAlign w:val="center"/>
            <w:tcMar>
              <w:top w:w="60" w:type="dxa"/>
              <w:start w:w="70" w:type="dxa"/>
              <w:bottom w:w="60" w:type="dxa"/>
              <w:end w:w="70" w:type="dxa"/>
            </w:tcMar>
          </w:tcPr>
          <w:p>
            <w:pPr>
              <w:spacing w:after="0"/>
              <w:jc w:val="center"/>
            </w:pPr>
            <w:r>
              <w:rPr>
                <w:rFonts w:ascii="Times New Roman" w:hAnsi="Times New Roman"/>
                <w:b w:val="0"/>
                <w:i w:val="0"/>
                <w:color w:val="000000"/>
                <w:sz w:val="18"/>
              </w:rPr>
              <w:t>$1,050,000</w:t>
            </w:r>
          </w:p>
        </w:tc>
        <w:tc>
          <w:tcPr>
            <w:tcW w:type="dxa" w:w="1584"/>
            <w:vAlign w:val="center"/>
            <w:tcMar>
              <w:top w:w="60" w:type="dxa"/>
              <w:start w:w="70" w:type="dxa"/>
              <w:bottom w:w="60" w:type="dxa"/>
              <w:end w:w="70" w:type="dxa"/>
            </w:tcMar>
          </w:tcPr>
          <w:p>
            <w:pPr>
              <w:spacing w:after="0"/>
              <w:jc w:val="center"/>
            </w:pPr>
            <w:r>
              <w:rPr>
                <w:rFonts w:ascii="Times New Roman" w:hAnsi="Times New Roman"/>
                <w:b w:val="0"/>
                <w:i w:val="0"/>
                <w:color w:val="000000"/>
                <w:sz w:val="18"/>
              </w:rPr>
              <w:t>$180,000</w:t>
            </w:r>
          </w:p>
        </w:tc>
      </w:tr>
      <w:tr>
        <w:tc>
          <w:tcPr>
            <w:tcW w:type="dxa" w:w="936"/>
            <w:vAlign w:val="center"/>
            <w:tcMar>
              <w:top w:w="60" w:type="dxa"/>
              <w:start w:w="70" w:type="dxa"/>
              <w:bottom w:w="60" w:type="dxa"/>
              <w:end w:w="70" w:type="dxa"/>
            </w:tcMar>
          </w:tcPr>
          <w:p>
            <w:pPr>
              <w:spacing w:after="0"/>
              <w:jc w:val="center"/>
            </w:pPr>
            <w:r>
              <w:rPr>
                <w:rFonts w:ascii="Times New Roman" w:hAnsi="Times New Roman"/>
                <w:b w:val="0"/>
                <w:i w:val="0"/>
                <w:color w:val="000000"/>
                <w:sz w:val="18"/>
              </w:rPr>
              <w:t>2</w:t>
            </w:r>
          </w:p>
        </w:tc>
        <w:tc>
          <w:tcPr>
            <w:tcW w:type="dxa" w:w="936"/>
            <w:vAlign w:val="center"/>
            <w:tcMar>
              <w:top w:w="60" w:type="dxa"/>
              <w:start w:w="70" w:type="dxa"/>
              <w:bottom w:w="60" w:type="dxa"/>
              <w:end w:w="70" w:type="dxa"/>
            </w:tcMar>
          </w:tcPr>
          <w:p>
            <w:pPr>
              <w:spacing w:after="0"/>
              <w:jc w:val="center"/>
            </w:pPr>
            <w:r>
              <w:rPr>
                <w:rFonts w:ascii="Times New Roman" w:hAnsi="Times New Roman"/>
                <w:b w:val="0"/>
                <w:i w:val="0"/>
                <w:color w:val="000000"/>
                <w:sz w:val="18"/>
              </w:rPr>
              <w:t>10-24</w:t>
            </w:r>
          </w:p>
        </w:tc>
        <w:tc>
          <w:tcPr>
            <w:tcW w:type="dxa" w:w="4320"/>
            <w:vAlign w:val="center"/>
            <w:tcMar>
              <w:top w:w="60" w:type="dxa"/>
              <w:start w:w="70" w:type="dxa"/>
              <w:bottom w:w="60" w:type="dxa"/>
              <w:end w:w="70" w:type="dxa"/>
            </w:tcMar>
          </w:tcPr>
          <w:p>
            <w:pPr>
              <w:spacing w:after="0"/>
              <w:jc w:val="left"/>
            </w:pPr>
            <w:r>
              <w:rPr>
                <w:rFonts w:ascii="Times New Roman" w:hAnsi="Times New Roman"/>
                <w:b w:val="0"/>
                <w:i w:val="0"/>
                <w:color w:val="000000"/>
                <w:sz w:val="18"/>
              </w:rPr>
              <w:t>Adversarial robustness and team playoffs</w:t>
            </w:r>
          </w:p>
        </w:tc>
        <w:tc>
          <w:tcPr>
            <w:tcW w:type="dxa" w:w="1584"/>
            <w:vAlign w:val="center"/>
            <w:tcMar>
              <w:top w:w="60" w:type="dxa"/>
              <w:start w:w="70" w:type="dxa"/>
              <w:bottom w:w="60" w:type="dxa"/>
              <w:end w:w="70" w:type="dxa"/>
            </w:tcMar>
          </w:tcPr>
          <w:p>
            <w:pPr>
              <w:spacing w:after="0"/>
              <w:jc w:val="center"/>
            </w:pPr>
            <w:r>
              <w:rPr>
                <w:rFonts w:ascii="Times New Roman" w:hAnsi="Times New Roman"/>
                <w:b w:val="0"/>
                <w:i w:val="0"/>
                <w:color w:val="000000"/>
                <w:sz w:val="18"/>
              </w:rPr>
              <w:t>$2,050,000</w:t>
            </w:r>
          </w:p>
        </w:tc>
        <w:tc>
          <w:tcPr>
            <w:tcW w:type="dxa" w:w="1584"/>
            <w:vAlign w:val="center"/>
            <w:tcMar>
              <w:top w:w="60" w:type="dxa"/>
              <w:start w:w="70" w:type="dxa"/>
              <w:bottom w:w="60" w:type="dxa"/>
              <w:end w:w="70" w:type="dxa"/>
            </w:tcMar>
          </w:tcPr>
          <w:p>
            <w:pPr>
              <w:spacing w:after="0"/>
              <w:jc w:val="center"/>
            </w:pPr>
            <w:r>
              <w:rPr>
                <w:rFonts w:ascii="Times New Roman" w:hAnsi="Times New Roman"/>
                <w:b w:val="0"/>
                <w:i w:val="0"/>
                <w:color w:val="000000"/>
                <w:sz w:val="18"/>
              </w:rPr>
              <w:t>$420,000</w:t>
            </w:r>
          </w:p>
        </w:tc>
      </w:tr>
      <w:tr>
        <w:tc>
          <w:tcPr>
            <w:tcW w:type="dxa" w:w="936"/>
            <w:vAlign w:val="center"/>
            <w:tcMar>
              <w:top w:w="60" w:type="dxa"/>
              <w:start w:w="70" w:type="dxa"/>
              <w:bottom w:w="60" w:type="dxa"/>
              <w:end w:w="70" w:type="dxa"/>
            </w:tcMar>
          </w:tcPr>
          <w:p>
            <w:pPr>
              <w:spacing w:after="0"/>
              <w:jc w:val="center"/>
            </w:pPr>
            <w:r>
              <w:rPr>
                <w:rFonts w:ascii="Times New Roman" w:hAnsi="Times New Roman"/>
                <w:b w:val="0"/>
                <w:i w:val="0"/>
                <w:color w:val="000000"/>
                <w:sz w:val="18"/>
              </w:rPr>
              <w:t>3</w:t>
            </w:r>
          </w:p>
        </w:tc>
        <w:tc>
          <w:tcPr>
            <w:tcW w:type="dxa" w:w="936"/>
            <w:vAlign w:val="center"/>
            <w:tcMar>
              <w:top w:w="60" w:type="dxa"/>
              <w:start w:w="70" w:type="dxa"/>
              <w:bottom w:w="60" w:type="dxa"/>
              <w:end w:w="70" w:type="dxa"/>
            </w:tcMar>
          </w:tcPr>
          <w:p>
            <w:pPr>
              <w:spacing w:after="0"/>
              <w:jc w:val="center"/>
            </w:pPr>
            <w:r>
              <w:rPr>
                <w:rFonts w:ascii="Times New Roman" w:hAnsi="Times New Roman"/>
                <w:b w:val="0"/>
                <w:i w:val="0"/>
                <w:color w:val="000000"/>
                <w:sz w:val="18"/>
              </w:rPr>
              <w:t>25-36</w:t>
            </w:r>
          </w:p>
        </w:tc>
        <w:tc>
          <w:tcPr>
            <w:tcW w:type="dxa" w:w="4320"/>
            <w:vAlign w:val="center"/>
            <w:tcMar>
              <w:top w:w="60" w:type="dxa"/>
              <w:start w:w="70" w:type="dxa"/>
              <w:bottom w:w="60" w:type="dxa"/>
              <w:end w:w="70" w:type="dxa"/>
            </w:tcMar>
          </w:tcPr>
          <w:p>
            <w:pPr>
              <w:spacing w:after="0"/>
              <w:jc w:val="left"/>
            </w:pPr>
            <w:r>
              <w:rPr>
                <w:rFonts w:ascii="Times New Roman" w:hAnsi="Times New Roman"/>
                <w:b w:val="0"/>
                <w:i w:val="0"/>
                <w:color w:val="000000"/>
                <w:sz w:val="18"/>
              </w:rPr>
              <w:t>100,000-agent scaling and transition</w:t>
            </w:r>
          </w:p>
        </w:tc>
        <w:tc>
          <w:tcPr>
            <w:tcW w:type="dxa" w:w="1584"/>
            <w:vAlign w:val="center"/>
            <w:tcMar>
              <w:top w:w="60" w:type="dxa"/>
              <w:start w:w="70" w:type="dxa"/>
              <w:bottom w:w="60" w:type="dxa"/>
              <w:end w:w="70" w:type="dxa"/>
            </w:tcMar>
          </w:tcPr>
          <w:p>
            <w:pPr>
              <w:spacing w:after="0"/>
              <w:jc w:val="center"/>
            </w:pPr>
            <w:r>
              <w:rPr>
                <w:rFonts w:ascii="Times New Roman" w:hAnsi="Times New Roman"/>
                <w:b w:val="0"/>
                <w:i w:val="0"/>
                <w:color w:val="000000"/>
                <w:sz w:val="18"/>
              </w:rPr>
              <w:t>$1,820,000</w:t>
            </w:r>
          </w:p>
        </w:tc>
        <w:tc>
          <w:tcPr>
            <w:tcW w:type="dxa" w:w="1584"/>
            <w:vAlign w:val="center"/>
            <w:tcMar>
              <w:top w:w="60" w:type="dxa"/>
              <w:start w:w="70" w:type="dxa"/>
              <w:bottom w:w="60" w:type="dxa"/>
              <w:end w:w="70" w:type="dxa"/>
            </w:tcMar>
          </w:tcPr>
          <w:p>
            <w:pPr>
              <w:spacing w:after="0"/>
              <w:jc w:val="center"/>
            </w:pPr>
            <w:r>
              <w:rPr>
                <w:rFonts w:ascii="Times New Roman" w:hAnsi="Times New Roman"/>
                <w:b w:val="0"/>
                <w:i w:val="0"/>
                <w:color w:val="000000"/>
                <w:sz w:val="18"/>
              </w:rPr>
              <w:t>$440,000</w:t>
            </w:r>
          </w:p>
        </w:tc>
      </w:tr>
      <w:tr>
        <w:tc>
          <w:tcPr>
            <w:tcW w:type="dxa" w:w="936"/>
            <w:vAlign w:val="center"/>
            <w:tcMar>
              <w:top w:w="60" w:type="dxa"/>
              <w:start w:w="70" w:type="dxa"/>
              <w:bottom w:w="60" w:type="dxa"/>
              <w:end w:w="70" w:type="dxa"/>
            </w:tcMar>
          </w:tcPr>
          <w:p>
            <w:pPr>
              <w:spacing w:after="0"/>
              <w:jc w:val="center"/>
            </w:pPr>
            <w:r>
              <w:rPr>
                <w:rFonts w:ascii="Times New Roman" w:hAnsi="Times New Roman"/>
                <w:b/>
                <w:i w:val="0"/>
                <w:color w:val="000000"/>
                <w:sz w:val="18"/>
              </w:rPr>
              <w:t>Total</w:t>
            </w:r>
          </w:p>
        </w:tc>
        <w:tc>
          <w:tcPr>
            <w:tcW w:type="dxa" w:w="936"/>
            <w:vAlign w:val="center"/>
            <w:tcMar>
              <w:top w:w="60" w:type="dxa"/>
              <w:start w:w="70" w:type="dxa"/>
              <w:bottom w:w="60" w:type="dxa"/>
              <w:end w:w="70" w:type="dxa"/>
            </w:tcMar>
          </w:tcPr>
          <w:p>
            <w:pPr>
              <w:spacing w:after="0"/>
              <w:jc w:val="center"/>
            </w:pPr>
            <w:r>
              <w:rPr>
                <w:rFonts w:ascii="Times New Roman" w:hAnsi="Times New Roman"/>
                <w:b/>
                <w:i w:val="0"/>
                <w:color w:val="000000"/>
                <w:sz w:val="18"/>
              </w:rPr>
              <w:t>36</w:t>
            </w:r>
          </w:p>
        </w:tc>
        <w:tc>
          <w:tcPr>
            <w:tcW w:type="dxa" w:w="4320"/>
            <w:vAlign w:val="center"/>
            <w:tcMar>
              <w:top w:w="60" w:type="dxa"/>
              <w:start w:w="70" w:type="dxa"/>
              <w:bottom w:w="60" w:type="dxa"/>
              <w:end w:w="70" w:type="dxa"/>
            </w:tcMar>
          </w:tcPr>
          <w:p>
            <w:pPr>
              <w:spacing w:after="0"/>
              <w:jc w:val="left"/>
            </w:pPr>
            <w:r>
              <w:rPr>
                <w:rFonts w:ascii="Times New Roman" w:hAnsi="Times New Roman"/>
                <w:b/>
                <w:i w:val="0"/>
                <w:color w:val="000000"/>
                <w:sz w:val="18"/>
              </w:rPr>
              <w:t>Base plus options</w:t>
            </w:r>
          </w:p>
        </w:tc>
        <w:tc>
          <w:tcPr>
            <w:tcW w:type="dxa" w:w="1584"/>
            <w:vAlign w:val="center"/>
            <w:tcMar>
              <w:top w:w="60" w:type="dxa"/>
              <w:start w:w="70" w:type="dxa"/>
              <w:bottom w:w="60" w:type="dxa"/>
              <w:end w:w="70" w:type="dxa"/>
            </w:tcMar>
          </w:tcPr>
          <w:p>
            <w:pPr>
              <w:spacing w:after="0"/>
              <w:jc w:val="center"/>
            </w:pPr>
            <w:r>
              <w:rPr>
                <w:rFonts w:ascii="Times New Roman" w:hAnsi="Times New Roman"/>
                <w:b/>
                <w:i w:val="0"/>
                <w:color w:val="000000"/>
                <w:sz w:val="18"/>
              </w:rPr>
              <w:t>$4,920,000</w:t>
            </w:r>
          </w:p>
        </w:tc>
        <w:tc>
          <w:tcPr>
            <w:tcW w:type="dxa" w:w="1584"/>
            <w:vAlign w:val="center"/>
            <w:tcMar>
              <w:top w:w="60" w:type="dxa"/>
              <w:start w:w="70" w:type="dxa"/>
              <w:bottom w:w="60" w:type="dxa"/>
              <w:end w:w="70" w:type="dxa"/>
            </w:tcMar>
          </w:tcPr>
          <w:p>
            <w:pPr>
              <w:spacing w:after="0"/>
              <w:jc w:val="center"/>
            </w:pPr>
            <w:r>
              <w:rPr>
                <w:rFonts w:ascii="Times New Roman" w:hAnsi="Times New Roman"/>
                <w:b/>
                <w:i w:val="0"/>
                <w:color w:val="000000"/>
                <w:sz w:val="18"/>
              </w:rPr>
              <w:t>$1,040,000</w:t>
            </w:r>
          </w:p>
        </w:tc>
      </w:tr>
    </w:tbl>
    <w:p>
      <w:pPr>
        <w:spacing w:after="120" w:line="240" w:lineRule="auto"/>
        <w:jc w:val="left"/>
      </w:pPr>
      <w:r>
        <w:rPr>
          <w:rFonts w:ascii="Times New Roman" w:hAnsi="Times New Roman"/>
          <w:b w:val="0"/>
          <w:i w:val="0"/>
          <w:color w:val="000000"/>
          <w:sz w:val="24"/>
        </w:rPr>
        <w:t>Major milestones: M3 adaptor prototype; M4 self-evaluation; M6 baseline integration; M8 Phase 1 comparison; M13/16/19 adversarial evaluations; M23 down-select; M30 scaling evaluation; M33 self-play; M35 transition demo.</w:t>
      </w:r>
    </w:p>
    <w:p>
      <w:pPr>
        <w:keepNext/>
        <w:spacing w:before="240" w:after="120"/>
      </w:pPr>
      <w:r>
        <w:rPr>
          <w:rFonts w:ascii="Times New Roman" w:hAnsi="Times New Roman"/>
          <w:b/>
          <w:i w:val="0"/>
          <w:color w:val="1F4E78"/>
          <w:sz w:val="28"/>
        </w:rPr>
        <w:t>5. Publications</w:t>
      </w:r>
    </w:p>
    <w:p>
      <w:pPr>
        <w:numPr>
          <w:ilvl w:val="0"/>
          <w:numId w:val="13"/>
        </w:numPr>
        <w:spacing w:after="60" w:line="240" w:lineRule="auto"/>
      </w:pPr>
      <w:r>
        <w:rPr>
          <w:rFonts w:ascii="Times New Roman" w:hAnsi="Times New Roman"/>
          <w:b w:val="0"/>
          <w:i w:val="0"/>
          <w:color w:val="000000"/>
          <w:sz w:val="24"/>
        </w:rPr>
        <w:t>Ashworth, Robert. "DICE Preliminary Synthetic Benchmark V1: Sparse Peer Auction with Local Role-Coherence Control." Technical report and SHA-256 manifest, 2026.</w:t>
      </w:r>
    </w:p>
    <w:p>
      <w:pPr>
        <w:numPr>
          <w:ilvl w:val="0"/>
          <w:numId w:val="13"/>
        </w:numPr>
        <w:spacing w:after="60" w:line="240" w:lineRule="auto"/>
      </w:pPr>
      <w:r>
        <w:rPr>
          <w:rFonts w:ascii="Times New Roman" w:hAnsi="Times New Roman"/>
          <w:b w:val="0"/>
          <w:i w:val="0"/>
          <w:color w:val="000000"/>
          <w:sz w:val="24"/>
        </w:rPr>
        <w:t>Ashworth, Robert. "DICE Constraint-Carrying Commitment Benchmark: Role, Evidence-Lineage, Expiration, and Coherence-Horizon Ablation." Generated discrete-event technical report and SHA-256 manifest, 2026.</w:t>
      </w:r>
    </w:p>
    <w:p>
      <w:pPr>
        <w:numPr>
          <w:ilvl w:val="0"/>
          <w:numId w:val="13"/>
        </w:numPr>
        <w:spacing w:after="60" w:line="240" w:lineRule="auto"/>
      </w:pPr>
      <w:r>
        <w:rPr>
          <w:rFonts w:ascii="Times New Roman" w:hAnsi="Times New Roman"/>
          <w:b w:val="0"/>
          <w:i w:val="0"/>
          <w:color w:val="000000"/>
          <w:sz w:val="24"/>
        </w:rPr>
        <w:t>Ashworth, Robert. "HarborSentinel Synthetic Benchmark: Explainable Streaming Maritime Anomaly Detection." Technical report and reproducibility package, 2026.</w:t>
      </w:r>
    </w:p>
    <w:p>
      <w:pPr>
        <w:numPr>
          <w:ilvl w:val="0"/>
          <w:numId w:val="13"/>
        </w:numPr>
        <w:spacing w:after="60" w:line="240" w:lineRule="auto"/>
      </w:pPr>
      <w:r>
        <w:rPr>
          <w:rFonts w:ascii="Times New Roman" w:hAnsi="Times New Roman"/>
          <w:b w:val="0"/>
          <w:i w:val="0"/>
          <w:color w:val="000000"/>
          <w:sz w:val="24"/>
        </w:rPr>
        <w:t>Ashworth, Robert. "Harmonic Validation Protocol: Leakage-Resistant Walk-Forward Evidence and Frozen Delta Requirements." Technical report, 2026.</w:t>
      </w:r>
    </w:p>
    <w:p>
      <w:pPr>
        <w:numPr>
          <w:ilvl w:val="0"/>
          <w:numId w:val="13"/>
        </w:numPr>
        <w:spacing w:after="60" w:line="240" w:lineRule="auto"/>
      </w:pPr>
      <w:r>
        <w:rPr>
          <w:rFonts w:ascii="Times New Roman" w:hAnsi="Times New Roman"/>
          <w:b w:val="0"/>
          <w:i w:val="0"/>
          <w:color w:val="000000"/>
          <w:sz w:val="24"/>
        </w:rPr>
        <w:t>Ashworth, Robert. "LumenCore Platform, Proof, and Commercialization Map." Technical report, 2026.</w:t>
      </w:r>
    </w:p>
    <w:p>
      <w:pPr>
        <w:numPr>
          <w:ilvl w:val="0"/>
          <w:numId w:val="13"/>
        </w:numPr>
        <w:spacing w:after="60" w:line="240" w:lineRule="auto"/>
      </w:pPr>
      <w:r>
        <w:rPr>
          <w:rFonts w:ascii="Times New Roman" w:hAnsi="Times New Roman"/>
          <w:b w:val="0"/>
          <w:i w:val="0"/>
          <w:color w:val="000000"/>
          <w:sz w:val="24"/>
        </w:rPr>
        <w:t>Ashworth, Robert. "Luma Production Context: Evidence-Calibrated Multi-Horizon Decision Platform." Technical report, 2026.</w:t>
      </w:r>
    </w:p>
    <w:p>
      <w:pPr>
        <w:keepNext/>
        <w:spacing w:before="240" w:after="120"/>
      </w:pPr>
      <w:r>
        <w:rPr>
          <w:rFonts w:ascii="Times New Roman" w:hAnsi="Times New Roman"/>
          <w:b/>
          <w:i w:val="0"/>
          <w:color w:val="1F4E78"/>
          <w:sz w:val="28"/>
        </w:rPr>
        <w:t>6. Bibliography</w:t>
      </w:r>
    </w:p>
    <w:p>
      <w:pPr>
        <w:numPr>
          <w:ilvl w:val="0"/>
          <w:numId w:val="13"/>
        </w:numPr>
        <w:spacing w:after="60" w:line="240" w:lineRule="auto"/>
      </w:pPr>
      <w:r>
        <w:rPr>
          <w:rFonts w:ascii="Times New Roman" w:hAnsi="Times New Roman"/>
          <w:b w:val="0"/>
          <w:i w:val="0"/>
          <w:color w:val="000000"/>
          <w:sz w:val="24"/>
        </w:rPr>
        <w:t>Defense Advanced Research Projects Agency. (2026). HR001126S0010, Decentralized Artificial Intelligence through Controlled Emergence (DICE). https://www.darpa.mil/research/programs/decentralized-artificial-intelligence-through-controlled-emergence</w:t>
      </w:r>
    </w:p>
    <w:p>
      <w:pPr>
        <w:numPr>
          <w:ilvl w:val="0"/>
          <w:numId w:val="13"/>
        </w:numPr>
        <w:spacing w:after="60" w:line="240" w:lineRule="auto"/>
      </w:pPr>
      <w:r>
        <w:rPr>
          <w:rFonts w:ascii="Times New Roman" w:hAnsi="Times New Roman"/>
          <w:b w:val="0"/>
          <w:i w:val="0"/>
          <w:color w:val="000000"/>
          <w:sz w:val="24"/>
        </w:rPr>
        <w:t>Turner, A. M., et al. (2023). Steering Language Models with Activation Engineering. arXiv:2308.10248. https://arxiv.org/abs/2308.10248</w:t>
      </w:r>
    </w:p>
    <w:p>
      <w:pPr>
        <w:numPr>
          <w:ilvl w:val="0"/>
          <w:numId w:val="13"/>
        </w:numPr>
        <w:spacing w:after="60" w:line="240" w:lineRule="auto"/>
      </w:pPr>
      <w:r>
        <w:rPr>
          <w:rFonts w:ascii="Times New Roman" w:hAnsi="Times New Roman"/>
          <w:b w:val="0"/>
          <w:i w:val="0"/>
          <w:color w:val="000000"/>
          <w:sz w:val="24"/>
        </w:rPr>
        <w:t>Shapira, N., et al. (2024). Prompt Infection: LLM-to-LLM Prompt Injection within Multi-Agent Systems. arXiv:2410.07283. https://arxiv.org/abs/2410.07283</w:t>
      </w:r>
    </w:p>
    <w:p>
      <w:pPr>
        <w:numPr>
          <w:ilvl w:val="0"/>
          <w:numId w:val="13"/>
        </w:numPr>
        <w:spacing w:after="60" w:line="240" w:lineRule="auto"/>
      </w:pPr>
      <w:r>
        <w:rPr>
          <w:rFonts w:ascii="Times New Roman" w:hAnsi="Times New Roman"/>
          <w:b w:val="0"/>
          <w:i w:val="0"/>
          <w:color w:val="000000"/>
          <w:sz w:val="24"/>
        </w:rPr>
        <w:t>Friston, K. J., et al. (2024). Designing Ecosystems of Intelligence from First Principles. Collective Intelligence, 3(1). https://doi.org/10.1177/26339137231222481</w:t>
      </w:r>
    </w:p>
    <w:p>
      <w:pPr>
        <w:numPr>
          <w:ilvl w:val="0"/>
          <w:numId w:val="13"/>
        </w:numPr>
        <w:spacing w:after="60" w:line="240" w:lineRule="auto"/>
      </w:pPr>
      <w:r>
        <w:rPr>
          <w:rFonts w:ascii="Times New Roman" w:hAnsi="Times New Roman"/>
          <w:b w:val="0"/>
          <w:i w:val="0"/>
          <w:color w:val="000000"/>
          <w:sz w:val="24"/>
        </w:rPr>
        <w:t>Zhou, H., et al. (2025). ReSo: A Reward-Driven Self-Organizing LLM-Based Multi-Agent System for Reasoning Tasks. Proceedings of EMNLP 2025. https://aclanthology.org/2025.emnlp-main.808/</w:t>
      </w:r>
    </w:p>
    <w:p>
      <w:pPr>
        <w:numPr>
          <w:ilvl w:val="0"/>
          <w:numId w:val="13"/>
        </w:numPr>
        <w:spacing w:after="60" w:line="240" w:lineRule="auto"/>
      </w:pPr>
      <w:r>
        <w:rPr>
          <w:rFonts w:ascii="Times New Roman" w:hAnsi="Times New Roman"/>
          <w:b w:val="0"/>
          <w:i w:val="0"/>
          <w:color w:val="000000"/>
          <w:sz w:val="24"/>
        </w:rPr>
        <w:t>Lee, H., et al. (2026). Robust Multi-Agent LLMs under Byzantine Faults. arXiv:2605.09076. https://arxiv.org/abs/2605.09076</w:t>
      </w:r>
    </w:p>
    <w:p>
      <w:pPr>
        <w:numPr>
          <w:ilvl w:val="0"/>
          <w:numId w:val="13"/>
        </w:numPr>
        <w:spacing w:after="60" w:line="240" w:lineRule="auto"/>
      </w:pPr>
      <w:r>
        <w:rPr>
          <w:rFonts w:ascii="Times New Roman" w:hAnsi="Times New Roman"/>
          <w:b w:val="0"/>
          <w:i w:val="0"/>
          <w:color w:val="000000"/>
          <w:sz w:val="24"/>
        </w:rPr>
        <w:t>Model Context Protocol project. (2026). Open protocol repository. https://github.com/modelcontextprotocol</w:t>
      </w:r>
    </w:p>
    <w:p>
      <w:pPr>
        <w:numPr>
          <w:ilvl w:val="0"/>
          <w:numId w:val="13"/>
        </w:numPr>
        <w:spacing w:after="60" w:line="240" w:lineRule="auto"/>
      </w:pPr>
      <w:r>
        <w:rPr>
          <w:rFonts w:ascii="Times New Roman" w:hAnsi="Times New Roman"/>
          <w:b w:val="0"/>
          <w:i w:val="0"/>
          <w:color w:val="000000"/>
          <w:sz w:val="24"/>
        </w:rPr>
        <w:t>Agent2Agent Protocol project. (2026). Open protocol repository. https://github.com/a2aproject</w:t>
      </w:r>
    </w:p>
    <w:p>
      <w:pPr>
        <w:numPr>
          <w:ilvl w:val="0"/>
          <w:numId w:val="13"/>
        </w:numPr>
        <w:spacing w:after="60" w:line="240" w:lineRule="auto"/>
      </w:pPr>
      <w:r>
        <w:rPr>
          <w:rFonts w:ascii="Times New Roman" w:hAnsi="Times New Roman"/>
          <w:b w:val="0"/>
          <w:i w:val="0"/>
          <w:color w:val="000000"/>
          <w:sz w:val="24"/>
        </w:rPr>
        <w:t>vLLM project. (2026). vLLM documentation. https://docs.vllm.ai/</w:t>
      </w:r>
    </w:p>
    <w:p>
      <w:pPr>
        <w:numPr>
          <w:ilvl w:val="0"/>
          <w:numId w:val="13"/>
        </w:numPr>
        <w:spacing w:after="60" w:line="240" w:lineRule="auto"/>
      </w:pPr>
      <w:r>
        <w:rPr>
          <w:rFonts w:ascii="Times New Roman" w:hAnsi="Times New Roman"/>
          <w:b w:val="0"/>
          <w:i w:val="0"/>
          <w:color w:val="000000"/>
          <w:sz w:val="24"/>
        </w:rPr>
        <w:t>Fujimoto, R. M. (1990). Parallel Discrete Event Simulation. Communications of the ACM, 33(10), 30-53. https://doi.org/10.1145/84537.84545</w:t>
      </w:r>
    </w:p>
    <w:sectPr w:rsidR="00991E9E" w:rsidRPr="00E860D5" w:rsidSect="00C836B2">
      <w:footerReference w:type="default" r:id="rId21"/>
      <w:pgSz w:w="12240" w:h="15840" w:code="1"/>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19682" w14:textId="77777777" w:rsidR="00CD59C3" w:rsidRDefault="00CD59C3" w:rsidP="00F96729">
      <w:pPr>
        <w:spacing w:after="0" w:line="240" w:lineRule="auto"/>
      </w:pPr>
      <w:r>
        <w:separator/>
      </w:r>
    </w:p>
  </w:endnote>
  <w:endnote w:type="continuationSeparator" w:id="0">
    <w:p w14:paraId="5850EC17" w14:textId="77777777" w:rsidR="00CD59C3" w:rsidRDefault="00CD59C3" w:rsidP="00F96729">
      <w:pPr>
        <w:spacing w:after="0" w:line="240" w:lineRule="auto"/>
      </w:pPr>
      <w:r>
        <w:continuationSeparator/>
      </w:r>
    </w:p>
  </w:endnote>
  <w:endnote w:type="continuationNotice" w:id="1">
    <w:p w14:paraId="083213A1" w14:textId="77777777" w:rsidR="00CD59C3" w:rsidRDefault="00CD59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2841338"/>
      <w:docPartObj>
        <w:docPartGallery w:val="Page Numbers (Bottom of Page)"/>
        <w:docPartUnique/>
      </w:docPartObj>
    </w:sdtPr>
    <w:sdtEndPr>
      <w:rPr>
        <w:rFonts w:ascii="Times New Roman" w:hAnsi="Times New Roman"/>
        <w:noProof/>
        <w:sz w:val="20"/>
        <w:szCs w:val="20"/>
      </w:rPr>
    </w:sdtEndPr>
    <w:sdtContent>
      <w:p w14:paraId="7088D0ED" w14:textId="02601D79" w:rsidR="00C13EAB" w:rsidRPr="00E65E86" w:rsidRDefault="00E65E86" w:rsidP="00E65E86">
        <w:pPr>
          <w:pStyle w:val="Footer"/>
          <w:jc w:val="center"/>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 xml:space="preserve"> PAGE  \* Arabic  \* MERGEFORMAT </w:instrText>
        </w:r>
        <w:r>
          <w:rPr>
            <w:rFonts w:ascii="Times New Roman" w:hAnsi="Times New Roman"/>
            <w:sz w:val="20"/>
            <w:szCs w:val="20"/>
          </w:rPr>
          <w:fldChar w:fldCharType="separate"/>
        </w:r>
        <w:r>
          <w:rPr>
            <w:rFonts w:ascii="Times New Roman" w:hAnsi="Times New Roman"/>
            <w:noProof/>
            <w:sz w:val="20"/>
            <w:szCs w:val="20"/>
          </w:rPr>
          <w:t>1</w:t>
        </w:r>
        <w:r>
          <w:rPr>
            <w:rFonts w:ascii="Times New Roman" w:hAnsi="Times New Roman"/>
            <w:sz w:val="20"/>
            <w:szCs w:val="20"/>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i w:val="0"/>
        <w:color w:val="555555"/>
        <w:sz w:val="16"/>
      </w:rPr>
      <w:t>UNCLASSIFIED | WORKING DRAFT - NOT APPROVED FOR SUBMISSION</w:t>
    </w:r>
    <w:r>
      <w:t xml:space="preserve">        </w:t>
    </w:r>
    <w:r>
      <w:rPr>
        <w:rFonts w:ascii="Times New Roman" w:hAnsi="Times New Roman"/>
        <w:b w:val="0"/>
        <w:i w:val="0"/>
        <w:color w:val="555555"/>
        <w:sz w:val="18"/>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D92BA" w14:textId="77777777" w:rsidR="00CD59C3" w:rsidRDefault="00CD59C3" w:rsidP="00F96729">
      <w:pPr>
        <w:spacing w:after="0" w:line="240" w:lineRule="auto"/>
      </w:pPr>
      <w:r>
        <w:separator/>
      </w:r>
    </w:p>
  </w:footnote>
  <w:footnote w:type="continuationSeparator" w:id="0">
    <w:p w14:paraId="0E4F2EE8" w14:textId="77777777" w:rsidR="00CD59C3" w:rsidRDefault="00CD59C3" w:rsidP="00F96729">
      <w:pPr>
        <w:spacing w:after="0" w:line="240" w:lineRule="auto"/>
      </w:pPr>
      <w:r>
        <w:continuationSeparator/>
      </w:r>
    </w:p>
  </w:footnote>
  <w:footnote w:type="continuationNotice" w:id="1">
    <w:p w14:paraId="0C4FA4D7" w14:textId="77777777" w:rsidR="00CD59C3" w:rsidRDefault="00CD59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11FA" w14:textId="519792AA" w:rsidR="00722198" w:rsidRPr="002D35BF" w:rsidRDefault="00614BEE" w:rsidP="002D35BF">
    <w:pPr>
      <w:jc w:val="center"/>
      <w:rPr>
        <w:rFonts w:ascii="Times New Roman" w:hAnsi="Times New Roman"/>
        <w:sz w:val="20"/>
        <w:szCs w:val="20"/>
      </w:rPr>
    </w:pPr>
    <w:r>
      <w:rPr>
        <w:rFonts w:ascii="Times New Roman" w:hAnsi="Times New Roman"/>
        <w:sz w:val="20"/>
        <w:szCs w:val="20"/>
      </w:rPr>
      <w:t>HR001126S00</w:t>
    </w:r>
    <w:r w:rsidR="00C15B4D">
      <w:rPr>
        <w:rFonts w:ascii="Times New Roman" w:hAnsi="Times New Roman"/>
        <w:sz w:val="20"/>
        <w:szCs w:val="20"/>
      </w:rPr>
      <w:t>10</w:t>
    </w:r>
    <w:r w:rsidR="00C436ED">
      <w:rPr>
        <w:rFonts w:ascii="Times New Roman" w:hAnsi="Times New Roman"/>
        <w:sz w:val="20"/>
        <w:szCs w:val="20"/>
      </w:rPr>
      <w:t xml:space="preserve">: </w:t>
    </w:r>
    <w:r w:rsidR="00370161">
      <w:rPr>
        <w:rFonts w:ascii="Times New Roman" w:hAnsi="Times New Roman"/>
        <w:sz w:val="20"/>
        <w:szCs w:val="20"/>
      </w:rPr>
      <w:t>DICE</w:t>
    </w:r>
    <w:r>
      <w:rPr>
        <w:rFonts w:ascii="Times New Roman" w:hAnsi="Times New Roman"/>
        <w:sz w:val="20"/>
        <w:szCs w:val="20"/>
      </w:rPr>
      <w:t xml:space="preserve"> Abstract</w:t>
    </w:r>
    <w:r w:rsidR="002D35BF">
      <w:rPr>
        <w:rFonts w:ascii="Times New Roman" w:hAnsi="Times New Roman"/>
        <w:sz w:val="20"/>
        <w:szCs w:val="20"/>
      </w:rPr>
      <w:br/>
    </w:r>
    <w:r w:rsidR="002D35BF" w:rsidRPr="006E637D">
      <w:rPr>
        <w:rFonts w:ascii="Times New Roman" w:hAnsi="Times New Roman"/>
        <w:sz w:val="20"/>
        <w:szCs w:val="20"/>
      </w:rPr>
      <w:t>Source Selection Sensitive – See FAR 2.101 and FAR 3.104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340"/>
    <w:multiLevelType w:val="hybridMultilevel"/>
    <w:tmpl w:val="A958441C"/>
    <w:lvl w:ilvl="0" w:tplc="C2BAE6FA">
      <w:start w:val="1"/>
      <w:numFmt w:val="bullet"/>
      <w:lvlText w:val=""/>
      <w:lvlJc w:val="left"/>
      <w:pPr>
        <w:ind w:left="720" w:hanging="360"/>
      </w:pPr>
      <w:rPr>
        <w:rFonts w:ascii="Symbol" w:hAnsi="Symbol" w:hint="default"/>
      </w:rPr>
    </w:lvl>
    <w:lvl w:ilvl="1" w:tplc="A1C23CA0" w:tentative="1">
      <w:start w:val="1"/>
      <w:numFmt w:val="bullet"/>
      <w:lvlText w:val="o"/>
      <w:lvlJc w:val="left"/>
      <w:pPr>
        <w:ind w:left="1440" w:hanging="360"/>
      </w:pPr>
      <w:rPr>
        <w:rFonts w:ascii="Courier New" w:hAnsi="Courier New" w:cs="Courier New" w:hint="default"/>
      </w:rPr>
    </w:lvl>
    <w:lvl w:ilvl="2" w:tplc="2526A3C0" w:tentative="1">
      <w:start w:val="1"/>
      <w:numFmt w:val="bullet"/>
      <w:lvlText w:val=""/>
      <w:lvlJc w:val="left"/>
      <w:pPr>
        <w:ind w:left="2160" w:hanging="360"/>
      </w:pPr>
      <w:rPr>
        <w:rFonts w:ascii="Wingdings" w:hAnsi="Wingdings" w:hint="default"/>
      </w:rPr>
    </w:lvl>
    <w:lvl w:ilvl="3" w:tplc="6F824E38" w:tentative="1">
      <w:start w:val="1"/>
      <w:numFmt w:val="bullet"/>
      <w:lvlText w:val=""/>
      <w:lvlJc w:val="left"/>
      <w:pPr>
        <w:ind w:left="2880" w:hanging="360"/>
      </w:pPr>
      <w:rPr>
        <w:rFonts w:ascii="Symbol" w:hAnsi="Symbol" w:hint="default"/>
      </w:rPr>
    </w:lvl>
    <w:lvl w:ilvl="4" w:tplc="25FED97A" w:tentative="1">
      <w:start w:val="1"/>
      <w:numFmt w:val="bullet"/>
      <w:lvlText w:val="o"/>
      <w:lvlJc w:val="left"/>
      <w:pPr>
        <w:ind w:left="3600" w:hanging="360"/>
      </w:pPr>
      <w:rPr>
        <w:rFonts w:ascii="Courier New" w:hAnsi="Courier New" w:cs="Courier New" w:hint="default"/>
      </w:rPr>
    </w:lvl>
    <w:lvl w:ilvl="5" w:tplc="A00A2F78" w:tentative="1">
      <w:start w:val="1"/>
      <w:numFmt w:val="bullet"/>
      <w:lvlText w:val=""/>
      <w:lvlJc w:val="left"/>
      <w:pPr>
        <w:ind w:left="4320" w:hanging="360"/>
      </w:pPr>
      <w:rPr>
        <w:rFonts w:ascii="Wingdings" w:hAnsi="Wingdings" w:hint="default"/>
      </w:rPr>
    </w:lvl>
    <w:lvl w:ilvl="6" w:tplc="7544206C" w:tentative="1">
      <w:start w:val="1"/>
      <w:numFmt w:val="bullet"/>
      <w:lvlText w:val=""/>
      <w:lvlJc w:val="left"/>
      <w:pPr>
        <w:ind w:left="5040" w:hanging="360"/>
      </w:pPr>
      <w:rPr>
        <w:rFonts w:ascii="Symbol" w:hAnsi="Symbol" w:hint="default"/>
      </w:rPr>
    </w:lvl>
    <w:lvl w:ilvl="7" w:tplc="27F6552A" w:tentative="1">
      <w:start w:val="1"/>
      <w:numFmt w:val="bullet"/>
      <w:lvlText w:val="o"/>
      <w:lvlJc w:val="left"/>
      <w:pPr>
        <w:ind w:left="5760" w:hanging="360"/>
      </w:pPr>
      <w:rPr>
        <w:rFonts w:ascii="Courier New" w:hAnsi="Courier New" w:cs="Courier New" w:hint="default"/>
      </w:rPr>
    </w:lvl>
    <w:lvl w:ilvl="8" w:tplc="A4CA8A62" w:tentative="1">
      <w:start w:val="1"/>
      <w:numFmt w:val="bullet"/>
      <w:lvlText w:val=""/>
      <w:lvlJc w:val="left"/>
      <w:pPr>
        <w:ind w:left="6480" w:hanging="360"/>
      </w:pPr>
      <w:rPr>
        <w:rFonts w:ascii="Wingdings" w:hAnsi="Wingdings" w:hint="default"/>
      </w:rPr>
    </w:lvl>
  </w:abstractNum>
  <w:abstractNum w:abstractNumId="1" w15:restartNumberingAfterBreak="0">
    <w:nsid w:val="1099039C"/>
    <w:multiLevelType w:val="hybridMultilevel"/>
    <w:tmpl w:val="F52ADA5E"/>
    <w:lvl w:ilvl="0" w:tplc="EC94A23A">
      <w:start w:val="1"/>
      <w:numFmt w:val="decimal"/>
      <w:pStyle w:val="Heading1"/>
      <w:lvlText w:val="%1."/>
      <w:lvlJc w:val="left"/>
      <w:pPr>
        <w:ind w:left="720" w:hanging="360"/>
      </w:pPr>
    </w:lvl>
    <w:lvl w:ilvl="1" w:tplc="F12A7E7E">
      <w:numFmt w:val="bullet"/>
      <w:lvlText w:val=""/>
      <w:lvlJc w:val="left"/>
      <w:pPr>
        <w:ind w:left="1440" w:hanging="360"/>
      </w:pPr>
      <w:rPr>
        <w:rFonts w:ascii="Symbol" w:eastAsia="Calibri"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162353"/>
    <w:multiLevelType w:val="hybridMultilevel"/>
    <w:tmpl w:val="B41640B8"/>
    <w:lvl w:ilvl="0" w:tplc="47CE3674">
      <w:start w:val="1"/>
      <w:numFmt w:val="bullet"/>
      <w:lvlText w:val=""/>
      <w:lvlJc w:val="left"/>
      <w:pPr>
        <w:ind w:left="1080" w:hanging="360"/>
      </w:pPr>
      <w:rPr>
        <w:rFonts w:ascii="Symbol" w:hAnsi="Symbol" w:hint="default"/>
      </w:rPr>
    </w:lvl>
    <w:lvl w:ilvl="1" w:tplc="5434BFCE">
      <w:start w:val="1"/>
      <w:numFmt w:val="bullet"/>
      <w:lvlText w:val="o"/>
      <w:lvlJc w:val="left"/>
      <w:pPr>
        <w:ind w:left="1800" w:hanging="360"/>
      </w:pPr>
      <w:rPr>
        <w:rFonts w:ascii="Courier New" w:hAnsi="Courier New" w:cs="Courier New" w:hint="default"/>
      </w:rPr>
    </w:lvl>
    <w:lvl w:ilvl="2" w:tplc="D5BC3368" w:tentative="1">
      <w:start w:val="1"/>
      <w:numFmt w:val="bullet"/>
      <w:lvlText w:val=""/>
      <w:lvlJc w:val="left"/>
      <w:pPr>
        <w:ind w:left="2520" w:hanging="360"/>
      </w:pPr>
      <w:rPr>
        <w:rFonts w:ascii="Wingdings" w:hAnsi="Wingdings" w:hint="default"/>
      </w:rPr>
    </w:lvl>
    <w:lvl w:ilvl="3" w:tplc="862824FA" w:tentative="1">
      <w:start w:val="1"/>
      <w:numFmt w:val="bullet"/>
      <w:lvlText w:val=""/>
      <w:lvlJc w:val="left"/>
      <w:pPr>
        <w:ind w:left="3240" w:hanging="360"/>
      </w:pPr>
      <w:rPr>
        <w:rFonts w:ascii="Symbol" w:hAnsi="Symbol" w:hint="default"/>
      </w:rPr>
    </w:lvl>
    <w:lvl w:ilvl="4" w:tplc="06F8DBA8" w:tentative="1">
      <w:start w:val="1"/>
      <w:numFmt w:val="bullet"/>
      <w:lvlText w:val="o"/>
      <w:lvlJc w:val="left"/>
      <w:pPr>
        <w:ind w:left="3960" w:hanging="360"/>
      </w:pPr>
      <w:rPr>
        <w:rFonts w:ascii="Courier New" w:hAnsi="Courier New" w:cs="Courier New" w:hint="default"/>
      </w:rPr>
    </w:lvl>
    <w:lvl w:ilvl="5" w:tplc="7FC4097C" w:tentative="1">
      <w:start w:val="1"/>
      <w:numFmt w:val="bullet"/>
      <w:lvlText w:val=""/>
      <w:lvlJc w:val="left"/>
      <w:pPr>
        <w:ind w:left="4680" w:hanging="360"/>
      </w:pPr>
      <w:rPr>
        <w:rFonts w:ascii="Wingdings" w:hAnsi="Wingdings" w:hint="default"/>
      </w:rPr>
    </w:lvl>
    <w:lvl w:ilvl="6" w:tplc="20DC1492" w:tentative="1">
      <w:start w:val="1"/>
      <w:numFmt w:val="bullet"/>
      <w:lvlText w:val=""/>
      <w:lvlJc w:val="left"/>
      <w:pPr>
        <w:ind w:left="5400" w:hanging="360"/>
      </w:pPr>
      <w:rPr>
        <w:rFonts w:ascii="Symbol" w:hAnsi="Symbol" w:hint="default"/>
      </w:rPr>
    </w:lvl>
    <w:lvl w:ilvl="7" w:tplc="6E146100" w:tentative="1">
      <w:start w:val="1"/>
      <w:numFmt w:val="bullet"/>
      <w:lvlText w:val="o"/>
      <w:lvlJc w:val="left"/>
      <w:pPr>
        <w:ind w:left="6120" w:hanging="360"/>
      </w:pPr>
      <w:rPr>
        <w:rFonts w:ascii="Courier New" w:hAnsi="Courier New" w:cs="Courier New" w:hint="default"/>
      </w:rPr>
    </w:lvl>
    <w:lvl w:ilvl="8" w:tplc="970E6B1A" w:tentative="1">
      <w:start w:val="1"/>
      <w:numFmt w:val="bullet"/>
      <w:lvlText w:val=""/>
      <w:lvlJc w:val="left"/>
      <w:pPr>
        <w:ind w:left="6840" w:hanging="360"/>
      </w:pPr>
      <w:rPr>
        <w:rFonts w:ascii="Wingdings" w:hAnsi="Wingdings" w:hint="default"/>
      </w:rPr>
    </w:lvl>
  </w:abstractNum>
  <w:abstractNum w:abstractNumId="3" w15:restartNumberingAfterBreak="0">
    <w:nsid w:val="3CEE46DB"/>
    <w:multiLevelType w:val="hybridMultilevel"/>
    <w:tmpl w:val="B900CA2C"/>
    <w:lvl w:ilvl="0" w:tplc="5672DCA6">
      <w:start w:val="1"/>
      <w:numFmt w:val="bullet"/>
      <w:lvlText w:val=""/>
      <w:lvlJc w:val="left"/>
      <w:pPr>
        <w:ind w:left="720" w:hanging="360"/>
      </w:pPr>
      <w:rPr>
        <w:rFonts w:ascii="Symbol" w:hAnsi="Symbol" w:hint="default"/>
      </w:rPr>
    </w:lvl>
    <w:lvl w:ilvl="1" w:tplc="4EB26EE2" w:tentative="1">
      <w:start w:val="1"/>
      <w:numFmt w:val="bullet"/>
      <w:lvlText w:val="o"/>
      <w:lvlJc w:val="left"/>
      <w:pPr>
        <w:ind w:left="1440" w:hanging="360"/>
      </w:pPr>
      <w:rPr>
        <w:rFonts w:ascii="Courier New" w:hAnsi="Courier New" w:cs="Courier New" w:hint="default"/>
      </w:rPr>
    </w:lvl>
    <w:lvl w:ilvl="2" w:tplc="6E0A03C2" w:tentative="1">
      <w:start w:val="1"/>
      <w:numFmt w:val="bullet"/>
      <w:lvlText w:val=""/>
      <w:lvlJc w:val="left"/>
      <w:pPr>
        <w:ind w:left="2160" w:hanging="360"/>
      </w:pPr>
      <w:rPr>
        <w:rFonts w:ascii="Wingdings" w:hAnsi="Wingdings" w:hint="default"/>
      </w:rPr>
    </w:lvl>
    <w:lvl w:ilvl="3" w:tplc="86F87C78" w:tentative="1">
      <w:start w:val="1"/>
      <w:numFmt w:val="bullet"/>
      <w:lvlText w:val=""/>
      <w:lvlJc w:val="left"/>
      <w:pPr>
        <w:ind w:left="2880" w:hanging="360"/>
      </w:pPr>
      <w:rPr>
        <w:rFonts w:ascii="Symbol" w:hAnsi="Symbol" w:hint="default"/>
      </w:rPr>
    </w:lvl>
    <w:lvl w:ilvl="4" w:tplc="7A34AC90" w:tentative="1">
      <w:start w:val="1"/>
      <w:numFmt w:val="bullet"/>
      <w:lvlText w:val="o"/>
      <w:lvlJc w:val="left"/>
      <w:pPr>
        <w:ind w:left="3600" w:hanging="360"/>
      </w:pPr>
      <w:rPr>
        <w:rFonts w:ascii="Courier New" w:hAnsi="Courier New" w:cs="Courier New" w:hint="default"/>
      </w:rPr>
    </w:lvl>
    <w:lvl w:ilvl="5" w:tplc="A7642BAE" w:tentative="1">
      <w:start w:val="1"/>
      <w:numFmt w:val="bullet"/>
      <w:lvlText w:val=""/>
      <w:lvlJc w:val="left"/>
      <w:pPr>
        <w:ind w:left="4320" w:hanging="360"/>
      </w:pPr>
      <w:rPr>
        <w:rFonts w:ascii="Wingdings" w:hAnsi="Wingdings" w:hint="default"/>
      </w:rPr>
    </w:lvl>
    <w:lvl w:ilvl="6" w:tplc="01126164" w:tentative="1">
      <w:start w:val="1"/>
      <w:numFmt w:val="bullet"/>
      <w:lvlText w:val=""/>
      <w:lvlJc w:val="left"/>
      <w:pPr>
        <w:ind w:left="5040" w:hanging="360"/>
      </w:pPr>
      <w:rPr>
        <w:rFonts w:ascii="Symbol" w:hAnsi="Symbol" w:hint="default"/>
      </w:rPr>
    </w:lvl>
    <w:lvl w:ilvl="7" w:tplc="D3E0CDD2" w:tentative="1">
      <w:start w:val="1"/>
      <w:numFmt w:val="bullet"/>
      <w:lvlText w:val="o"/>
      <w:lvlJc w:val="left"/>
      <w:pPr>
        <w:ind w:left="5760" w:hanging="360"/>
      </w:pPr>
      <w:rPr>
        <w:rFonts w:ascii="Courier New" w:hAnsi="Courier New" w:cs="Courier New" w:hint="default"/>
      </w:rPr>
    </w:lvl>
    <w:lvl w:ilvl="8" w:tplc="7EEE0912" w:tentative="1">
      <w:start w:val="1"/>
      <w:numFmt w:val="bullet"/>
      <w:lvlText w:val=""/>
      <w:lvlJc w:val="left"/>
      <w:pPr>
        <w:ind w:left="6480" w:hanging="360"/>
      </w:pPr>
      <w:rPr>
        <w:rFonts w:ascii="Wingdings" w:hAnsi="Wingdings" w:hint="default"/>
      </w:rPr>
    </w:lvl>
  </w:abstractNum>
  <w:abstractNum w:abstractNumId="4" w15:restartNumberingAfterBreak="0">
    <w:nsid w:val="3E074050"/>
    <w:multiLevelType w:val="hybridMultilevel"/>
    <w:tmpl w:val="38FEE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A34F77"/>
    <w:multiLevelType w:val="hybridMultilevel"/>
    <w:tmpl w:val="84D4178E"/>
    <w:lvl w:ilvl="0" w:tplc="0A34EF7C">
      <w:start w:val="1"/>
      <w:numFmt w:val="bullet"/>
      <w:lvlText w:val=""/>
      <w:lvlJc w:val="left"/>
      <w:pPr>
        <w:ind w:left="1560" w:hanging="360"/>
      </w:pPr>
      <w:rPr>
        <w:rFonts w:ascii="Symbol" w:hAnsi="Symbol"/>
      </w:rPr>
    </w:lvl>
    <w:lvl w:ilvl="1" w:tplc="0A388636">
      <w:start w:val="1"/>
      <w:numFmt w:val="bullet"/>
      <w:lvlText w:val=""/>
      <w:lvlJc w:val="left"/>
      <w:pPr>
        <w:ind w:left="1560" w:hanging="360"/>
      </w:pPr>
      <w:rPr>
        <w:rFonts w:ascii="Symbol" w:hAnsi="Symbol"/>
      </w:rPr>
    </w:lvl>
    <w:lvl w:ilvl="2" w:tplc="3FAC1814">
      <w:start w:val="1"/>
      <w:numFmt w:val="bullet"/>
      <w:lvlText w:val=""/>
      <w:lvlJc w:val="left"/>
      <w:pPr>
        <w:ind w:left="1560" w:hanging="360"/>
      </w:pPr>
      <w:rPr>
        <w:rFonts w:ascii="Symbol" w:hAnsi="Symbol"/>
      </w:rPr>
    </w:lvl>
    <w:lvl w:ilvl="3" w:tplc="27A684E2">
      <w:start w:val="1"/>
      <w:numFmt w:val="bullet"/>
      <w:lvlText w:val=""/>
      <w:lvlJc w:val="left"/>
      <w:pPr>
        <w:ind w:left="1560" w:hanging="360"/>
      </w:pPr>
      <w:rPr>
        <w:rFonts w:ascii="Symbol" w:hAnsi="Symbol"/>
      </w:rPr>
    </w:lvl>
    <w:lvl w:ilvl="4" w:tplc="585C154C">
      <w:start w:val="1"/>
      <w:numFmt w:val="bullet"/>
      <w:lvlText w:val=""/>
      <w:lvlJc w:val="left"/>
      <w:pPr>
        <w:ind w:left="1560" w:hanging="360"/>
      </w:pPr>
      <w:rPr>
        <w:rFonts w:ascii="Symbol" w:hAnsi="Symbol"/>
      </w:rPr>
    </w:lvl>
    <w:lvl w:ilvl="5" w:tplc="7C62476C">
      <w:start w:val="1"/>
      <w:numFmt w:val="bullet"/>
      <w:lvlText w:val=""/>
      <w:lvlJc w:val="left"/>
      <w:pPr>
        <w:ind w:left="1560" w:hanging="360"/>
      </w:pPr>
      <w:rPr>
        <w:rFonts w:ascii="Symbol" w:hAnsi="Symbol"/>
      </w:rPr>
    </w:lvl>
    <w:lvl w:ilvl="6" w:tplc="4AA4F0C0">
      <w:start w:val="1"/>
      <w:numFmt w:val="bullet"/>
      <w:lvlText w:val=""/>
      <w:lvlJc w:val="left"/>
      <w:pPr>
        <w:ind w:left="1560" w:hanging="360"/>
      </w:pPr>
      <w:rPr>
        <w:rFonts w:ascii="Symbol" w:hAnsi="Symbol"/>
      </w:rPr>
    </w:lvl>
    <w:lvl w:ilvl="7" w:tplc="B2B2F0DC">
      <w:start w:val="1"/>
      <w:numFmt w:val="bullet"/>
      <w:lvlText w:val=""/>
      <w:lvlJc w:val="left"/>
      <w:pPr>
        <w:ind w:left="1560" w:hanging="360"/>
      </w:pPr>
      <w:rPr>
        <w:rFonts w:ascii="Symbol" w:hAnsi="Symbol"/>
      </w:rPr>
    </w:lvl>
    <w:lvl w:ilvl="8" w:tplc="D576B70A">
      <w:start w:val="1"/>
      <w:numFmt w:val="bullet"/>
      <w:lvlText w:val=""/>
      <w:lvlJc w:val="left"/>
      <w:pPr>
        <w:ind w:left="1560" w:hanging="360"/>
      </w:pPr>
      <w:rPr>
        <w:rFonts w:ascii="Symbol" w:hAnsi="Symbol"/>
      </w:rPr>
    </w:lvl>
  </w:abstractNum>
  <w:abstractNum w:abstractNumId="6"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7EB72AD"/>
    <w:multiLevelType w:val="hybridMultilevel"/>
    <w:tmpl w:val="471EE09C"/>
    <w:lvl w:ilvl="0" w:tplc="5F36FF28">
      <w:start w:val="1"/>
      <w:numFmt w:val="bullet"/>
      <w:lvlText w:val=""/>
      <w:lvlJc w:val="left"/>
      <w:pPr>
        <w:ind w:left="1560" w:hanging="360"/>
      </w:pPr>
      <w:rPr>
        <w:rFonts w:ascii="Symbol" w:hAnsi="Symbol"/>
      </w:rPr>
    </w:lvl>
    <w:lvl w:ilvl="1" w:tplc="2B20E72E">
      <w:start w:val="1"/>
      <w:numFmt w:val="bullet"/>
      <w:lvlText w:val=""/>
      <w:lvlJc w:val="left"/>
      <w:pPr>
        <w:ind w:left="1560" w:hanging="360"/>
      </w:pPr>
      <w:rPr>
        <w:rFonts w:ascii="Symbol" w:hAnsi="Symbol"/>
      </w:rPr>
    </w:lvl>
    <w:lvl w:ilvl="2" w:tplc="7466F77C">
      <w:start w:val="1"/>
      <w:numFmt w:val="bullet"/>
      <w:lvlText w:val=""/>
      <w:lvlJc w:val="left"/>
      <w:pPr>
        <w:ind w:left="1560" w:hanging="360"/>
      </w:pPr>
      <w:rPr>
        <w:rFonts w:ascii="Symbol" w:hAnsi="Symbol"/>
      </w:rPr>
    </w:lvl>
    <w:lvl w:ilvl="3" w:tplc="1632D702">
      <w:start w:val="1"/>
      <w:numFmt w:val="bullet"/>
      <w:lvlText w:val=""/>
      <w:lvlJc w:val="left"/>
      <w:pPr>
        <w:ind w:left="1560" w:hanging="360"/>
      </w:pPr>
      <w:rPr>
        <w:rFonts w:ascii="Symbol" w:hAnsi="Symbol"/>
      </w:rPr>
    </w:lvl>
    <w:lvl w:ilvl="4" w:tplc="EB525302">
      <w:start w:val="1"/>
      <w:numFmt w:val="bullet"/>
      <w:lvlText w:val=""/>
      <w:lvlJc w:val="left"/>
      <w:pPr>
        <w:ind w:left="1560" w:hanging="360"/>
      </w:pPr>
      <w:rPr>
        <w:rFonts w:ascii="Symbol" w:hAnsi="Symbol"/>
      </w:rPr>
    </w:lvl>
    <w:lvl w:ilvl="5" w:tplc="CE8E927A">
      <w:start w:val="1"/>
      <w:numFmt w:val="bullet"/>
      <w:lvlText w:val=""/>
      <w:lvlJc w:val="left"/>
      <w:pPr>
        <w:ind w:left="1560" w:hanging="360"/>
      </w:pPr>
      <w:rPr>
        <w:rFonts w:ascii="Symbol" w:hAnsi="Symbol"/>
      </w:rPr>
    </w:lvl>
    <w:lvl w:ilvl="6" w:tplc="EBDE33FE">
      <w:start w:val="1"/>
      <w:numFmt w:val="bullet"/>
      <w:lvlText w:val=""/>
      <w:lvlJc w:val="left"/>
      <w:pPr>
        <w:ind w:left="1560" w:hanging="360"/>
      </w:pPr>
      <w:rPr>
        <w:rFonts w:ascii="Symbol" w:hAnsi="Symbol"/>
      </w:rPr>
    </w:lvl>
    <w:lvl w:ilvl="7" w:tplc="24B49426">
      <w:start w:val="1"/>
      <w:numFmt w:val="bullet"/>
      <w:lvlText w:val=""/>
      <w:lvlJc w:val="left"/>
      <w:pPr>
        <w:ind w:left="1560" w:hanging="360"/>
      </w:pPr>
      <w:rPr>
        <w:rFonts w:ascii="Symbol" w:hAnsi="Symbol"/>
      </w:rPr>
    </w:lvl>
    <w:lvl w:ilvl="8" w:tplc="020A9FA6">
      <w:start w:val="1"/>
      <w:numFmt w:val="bullet"/>
      <w:lvlText w:val=""/>
      <w:lvlJc w:val="left"/>
      <w:pPr>
        <w:ind w:left="1560" w:hanging="360"/>
      </w:pPr>
      <w:rPr>
        <w:rFonts w:ascii="Symbol" w:hAnsi="Symbol"/>
      </w:rPr>
    </w:lvl>
  </w:abstractNum>
  <w:abstractNum w:abstractNumId="8" w15:restartNumberingAfterBreak="0">
    <w:nsid w:val="68EBCF99"/>
    <w:multiLevelType w:val="hybridMultilevel"/>
    <w:tmpl w:val="3F60A530"/>
    <w:lvl w:ilvl="0" w:tplc="9334DE58">
      <w:start w:val="1"/>
      <w:numFmt w:val="bullet"/>
      <w:lvlText w:val=""/>
      <w:lvlJc w:val="left"/>
      <w:pPr>
        <w:ind w:left="720" w:hanging="360"/>
      </w:pPr>
      <w:rPr>
        <w:rFonts w:ascii="Symbol" w:hAnsi="Symbol" w:hint="default"/>
      </w:rPr>
    </w:lvl>
    <w:lvl w:ilvl="1" w:tplc="7B6E915E">
      <w:start w:val="1"/>
      <w:numFmt w:val="bullet"/>
      <w:lvlText w:val="o"/>
      <w:lvlJc w:val="left"/>
      <w:pPr>
        <w:ind w:left="1440" w:hanging="360"/>
      </w:pPr>
      <w:rPr>
        <w:rFonts w:ascii="Courier New" w:hAnsi="Courier New" w:hint="default"/>
      </w:rPr>
    </w:lvl>
    <w:lvl w:ilvl="2" w:tplc="414EA31C">
      <w:start w:val="1"/>
      <w:numFmt w:val="bullet"/>
      <w:lvlText w:val=""/>
      <w:lvlJc w:val="left"/>
      <w:pPr>
        <w:ind w:left="2160" w:hanging="360"/>
      </w:pPr>
      <w:rPr>
        <w:rFonts w:ascii="Wingdings" w:hAnsi="Wingdings" w:hint="default"/>
      </w:rPr>
    </w:lvl>
    <w:lvl w:ilvl="3" w:tplc="E5E2D24E">
      <w:start w:val="1"/>
      <w:numFmt w:val="bullet"/>
      <w:lvlText w:val=""/>
      <w:lvlJc w:val="left"/>
      <w:pPr>
        <w:ind w:left="2880" w:hanging="360"/>
      </w:pPr>
      <w:rPr>
        <w:rFonts w:ascii="Symbol" w:hAnsi="Symbol" w:hint="default"/>
      </w:rPr>
    </w:lvl>
    <w:lvl w:ilvl="4" w:tplc="A4E21E84">
      <w:start w:val="1"/>
      <w:numFmt w:val="bullet"/>
      <w:lvlText w:val="o"/>
      <w:lvlJc w:val="left"/>
      <w:pPr>
        <w:ind w:left="3600" w:hanging="360"/>
      </w:pPr>
      <w:rPr>
        <w:rFonts w:ascii="Courier New" w:hAnsi="Courier New" w:hint="default"/>
      </w:rPr>
    </w:lvl>
    <w:lvl w:ilvl="5" w:tplc="F68C099C">
      <w:start w:val="1"/>
      <w:numFmt w:val="bullet"/>
      <w:lvlText w:val=""/>
      <w:lvlJc w:val="left"/>
      <w:pPr>
        <w:ind w:left="4320" w:hanging="360"/>
      </w:pPr>
      <w:rPr>
        <w:rFonts w:ascii="Wingdings" w:hAnsi="Wingdings" w:hint="default"/>
      </w:rPr>
    </w:lvl>
    <w:lvl w:ilvl="6" w:tplc="FC362EBC">
      <w:start w:val="1"/>
      <w:numFmt w:val="bullet"/>
      <w:lvlText w:val=""/>
      <w:lvlJc w:val="left"/>
      <w:pPr>
        <w:ind w:left="5040" w:hanging="360"/>
      </w:pPr>
      <w:rPr>
        <w:rFonts w:ascii="Symbol" w:hAnsi="Symbol" w:hint="default"/>
      </w:rPr>
    </w:lvl>
    <w:lvl w:ilvl="7" w:tplc="5AF85BD4">
      <w:start w:val="1"/>
      <w:numFmt w:val="bullet"/>
      <w:lvlText w:val="o"/>
      <w:lvlJc w:val="left"/>
      <w:pPr>
        <w:ind w:left="5760" w:hanging="360"/>
      </w:pPr>
      <w:rPr>
        <w:rFonts w:ascii="Courier New" w:hAnsi="Courier New" w:hint="default"/>
      </w:rPr>
    </w:lvl>
    <w:lvl w:ilvl="8" w:tplc="43AEC1D6">
      <w:start w:val="1"/>
      <w:numFmt w:val="bullet"/>
      <w:lvlText w:val=""/>
      <w:lvlJc w:val="left"/>
      <w:pPr>
        <w:ind w:left="6480" w:hanging="360"/>
      </w:pPr>
      <w:rPr>
        <w:rFonts w:ascii="Wingdings" w:hAnsi="Wingdings" w:hint="default"/>
      </w:rPr>
    </w:lvl>
  </w:abstractNum>
  <w:abstractNum w:abstractNumId="9" w15:restartNumberingAfterBreak="0">
    <w:nsid w:val="6F1A150E"/>
    <w:multiLevelType w:val="multilevel"/>
    <w:tmpl w:val="A1FE110A"/>
    <w:styleLink w:val="CurrentList1"/>
    <w:lvl w:ilvl="0">
      <w:start w:val="1"/>
      <w:numFmt w:val="upperRoman"/>
      <w:lvlText w:val="%1."/>
      <w:lvlJc w:val="left"/>
      <w:pPr>
        <w:tabs>
          <w:tab w:val="num" w:pos="1080"/>
        </w:tabs>
        <w:ind w:left="1080" w:hanging="720"/>
      </w:pPr>
      <w:rPr>
        <w:rFonts w:hint="default"/>
      </w:rPr>
    </w:lvl>
    <w:lvl w:ilvl="1">
      <w:start w:val="1"/>
      <w:numFmt w:val="upperLetter"/>
      <w:lvlText w:val="%2."/>
      <w:lvlJc w:val="left"/>
      <w:pPr>
        <w:tabs>
          <w:tab w:val="num" w:pos="1440"/>
        </w:tabs>
        <w:ind w:left="1440" w:hanging="360"/>
      </w:pPr>
      <w:rPr>
        <w:rFonts w:hint="default"/>
        <w:color w:val="auto"/>
      </w:rPr>
    </w:lvl>
    <w:lvl w:ilvl="2">
      <w:start w:val="1"/>
      <w:numFmt w:val="decimal"/>
      <w:lvlText w:val="%3."/>
      <w:lvlJc w:val="left"/>
      <w:pPr>
        <w:tabs>
          <w:tab w:val="num" w:pos="2340"/>
        </w:tabs>
        <w:ind w:left="2340" w:hanging="360"/>
      </w:pPr>
      <w:rPr>
        <w:rFonts w:hint="default"/>
        <w:b/>
        <w:color w:val="008000"/>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796A1C19"/>
    <w:multiLevelType w:val="hybridMultilevel"/>
    <w:tmpl w:val="89E0E482"/>
    <w:lvl w:ilvl="0" w:tplc="BE348A34">
      <w:start w:val="1"/>
      <w:numFmt w:val="bullet"/>
      <w:lvlText w:val=""/>
      <w:lvlJc w:val="left"/>
      <w:pPr>
        <w:ind w:left="720" w:hanging="360"/>
      </w:pPr>
      <w:rPr>
        <w:rFonts w:ascii="Symbol" w:hAnsi="Symbol" w:hint="default"/>
      </w:rPr>
    </w:lvl>
    <w:lvl w:ilvl="1" w:tplc="8524342E">
      <w:start w:val="1"/>
      <w:numFmt w:val="bullet"/>
      <w:lvlText w:val="o"/>
      <w:lvlJc w:val="left"/>
      <w:pPr>
        <w:ind w:left="1440" w:hanging="360"/>
      </w:pPr>
      <w:rPr>
        <w:rFonts w:ascii="Courier New" w:hAnsi="Courier New" w:cs="Courier New" w:hint="default"/>
      </w:rPr>
    </w:lvl>
    <w:lvl w:ilvl="2" w:tplc="50702BDA">
      <w:start w:val="1"/>
      <w:numFmt w:val="bullet"/>
      <w:lvlText w:val=""/>
      <w:lvlJc w:val="left"/>
      <w:pPr>
        <w:ind w:left="2160" w:hanging="360"/>
      </w:pPr>
      <w:rPr>
        <w:rFonts w:ascii="Wingdings" w:hAnsi="Wingdings" w:hint="default"/>
      </w:rPr>
    </w:lvl>
    <w:lvl w:ilvl="3" w:tplc="943E719E" w:tentative="1">
      <w:start w:val="1"/>
      <w:numFmt w:val="bullet"/>
      <w:lvlText w:val=""/>
      <w:lvlJc w:val="left"/>
      <w:pPr>
        <w:ind w:left="2880" w:hanging="360"/>
      </w:pPr>
      <w:rPr>
        <w:rFonts w:ascii="Symbol" w:hAnsi="Symbol" w:hint="default"/>
      </w:rPr>
    </w:lvl>
    <w:lvl w:ilvl="4" w:tplc="5AB8CEAA" w:tentative="1">
      <w:start w:val="1"/>
      <w:numFmt w:val="bullet"/>
      <w:lvlText w:val="o"/>
      <w:lvlJc w:val="left"/>
      <w:pPr>
        <w:ind w:left="3600" w:hanging="360"/>
      </w:pPr>
      <w:rPr>
        <w:rFonts w:ascii="Courier New" w:hAnsi="Courier New" w:cs="Courier New" w:hint="default"/>
      </w:rPr>
    </w:lvl>
    <w:lvl w:ilvl="5" w:tplc="DA06C762" w:tentative="1">
      <w:start w:val="1"/>
      <w:numFmt w:val="bullet"/>
      <w:lvlText w:val=""/>
      <w:lvlJc w:val="left"/>
      <w:pPr>
        <w:ind w:left="4320" w:hanging="360"/>
      </w:pPr>
      <w:rPr>
        <w:rFonts w:ascii="Wingdings" w:hAnsi="Wingdings" w:hint="default"/>
      </w:rPr>
    </w:lvl>
    <w:lvl w:ilvl="6" w:tplc="A316F37E" w:tentative="1">
      <w:start w:val="1"/>
      <w:numFmt w:val="bullet"/>
      <w:lvlText w:val=""/>
      <w:lvlJc w:val="left"/>
      <w:pPr>
        <w:ind w:left="5040" w:hanging="360"/>
      </w:pPr>
      <w:rPr>
        <w:rFonts w:ascii="Symbol" w:hAnsi="Symbol" w:hint="default"/>
      </w:rPr>
    </w:lvl>
    <w:lvl w:ilvl="7" w:tplc="D21298C8" w:tentative="1">
      <w:start w:val="1"/>
      <w:numFmt w:val="bullet"/>
      <w:lvlText w:val="o"/>
      <w:lvlJc w:val="left"/>
      <w:pPr>
        <w:ind w:left="5760" w:hanging="360"/>
      </w:pPr>
      <w:rPr>
        <w:rFonts w:ascii="Courier New" w:hAnsi="Courier New" w:cs="Courier New" w:hint="default"/>
      </w:rPr>
    </w:lvl>
    <w:lvl w:ilvl="8" w:tplc="A1666616" w:tentative="1">
      <w:start w:val="1"/>
      <w:numFmt w:val="bullet"/>
      <w:lvlText w:val=""/>
      <w:lvlJc w:val="left"/>
      <w:pPr>
        <w:ind w:left="6480" w:hanging="360"/>
      </w:pPr>
      <w:rPr>
        <w:rFonts w:ascii="Wingdings" w:hAnsi="Wingdings" w:hint="default"/>
      </w:rPr>
    </w:lvl>
  </w:abstractNum>
  <w:num w:numId="1" w16cid:durableId="537162190">
    <w:abstractNumId w:val="1"/>
  </w:num>
  <w:num w:numId="2" w16cid:durableId="351496470">
    <w:abstractNumId w:val="6"/>
  </w:num>
  <w:num w:numId="3" w16cid:durableId="920720303">
    <w:abstractNumId w:val="9"/>
  </w:num>
  <w:num w:numId="4" w16cid:durableId="335227873">
    <w:abstractNumId w:val="2"/>
  </w:num>
  <w:num w:numId="5" w16cid:durableId="1786535781">
    <w:abstractNumId w:val="1"/>
  </w:num>
  <w:num w:numId="6" w16cid:durableId="1796363804">
    <w:abstractNumId w:val="8"/>
  </w:num>
  <w:num w:numId="7" w16cid:durableId="922371235">
    <w:abstractNumId w:val="3"/>
  </w:num>
  <w:num w:numId="8" w16cid:durableId="1966232321">
    <w:abstractNumId w:val="0"/>
  </w:num>
  <w:num w:numId="9" w16cid:durableId="1170633848">
    <w:abstractNumId w:val="10"/>
  </w:num>
  <w:num w:numId="10" w16cid:durableId="1488933997">
    <w:abstractNumId w:val="5"/>
  </w:num>
  <w:num w:numId="11" w16cid:durableId="118113116">
    <w:abstractNumId w:val="7"/>
  </w:num>
  <w:num w:numId="12" w16cid:durableId="1029139017">
    <w:abstractNumId w:val="4"/>
  </w:num>
  <w:numIdMacAtCleanup w:val="9"/>
  <w:abstractNum w:abstractNumId="11">
    <w:multiLevelType w:val="singleLevel"/>
    <w:lvl w:ilvl="0">
      <w:start w:val="1"/>
      <w:numFmt w:val="bullet"/>
      <w:lvlText w:val="•"/>
      <w:lvlJc w:val="left"/>
      <w:pPr>
        <w:tabs>
          <w:tab w:val="num" w:pos="540"/>
        </w:tabs>
        <w:ind w:left="540" w:hanging="280"/>
      </w:pPr>
      <w:rPr>
        <w:rFonts w:ascii="Symbol" w:hAnsi="Symbol"/>
      </w:rPr>
    </w:lvl>
  </w:abstract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ocumentProtection w:edit="readOnly"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SxMDE2MDAytzQyMbNQ0lEKTi0uzszPAykwNKgFAKkh5vstAAAA"/>
  </w:docVars>
  <w:rsids>
    <w:rsidRoot w:val="00C432DF"/>
    <w:rsid w:val="00004838"/>
    <w:rsid w:val="00012A0E"/>
    <w:rsid w:val="00012C0F"/>
    <w:rsid w:val="00017037"/>
    <w:rsid w:val="00021170"/>
    <w:rsid w:val="00025090"/>
    <w:rsid w:val="00027C5F"/>
    <w:rsid w:val="00033C74"/>
    <w:rsid w:val="000350C3"/>
    <w:rsid w:val="000404E7"/>
    <w:rsid w:val="00045546"/>
    <w:rsid w:val="0004632E"/>
    <w:rsid w:val="0005109C"/>
    <w:rsid w:val="000542CF"/>
    <w:rsid w:val="00057660"/>
    <w:rsid w:val="00060362"/>
    <w:rsid w:val="00070698"/>
    <w:rsid w:val="00070D18"/>
    <w:rsid w:val="0007295A"/>
    <w:rsid w:val="00074334"/>
    <w:rsid w:val="0007552A"/>
    <w:rsid w:val="000821AD"/>
    <w:rsid w:val="000900CB"/>
    <w:rsid w:val="00091B81"/>
    <w:rsid w:val="00091D10"/>
    <w:rsid w:val="000B1E23"/>
    <w:rsid w:val="000B64DB"/>
    <w:rsid w:val="000C5BAA"/>
    <w:rsid w:val="000C7202"/>
    <w:rsid w:val="000C7FB1"/>
    <w:rsid w:val="000D7598"/>
    <w:rsid w:val="000D79B0"/>
    <w:rsid w:val="000E14CB"/>
    <w:rsid w:val="000E2AB1"/>
    <w:rsid w:val="000F03A5"/>
    <w:rsid w:val="000F5C1E"/>
    <w:rsid w:val="000F5FD6"/>
    <w:rsid w:val="000F7DF1"/>
    <w:rsid w:val="0010030E"/>
    <w:rsid w:val="001005BB"/>
    <w:rsid w:val="00104B98"/>
    <w:rsid w:val="00110C8A"/>
    <w:rsid w:val="00113FE7"/>
    <w:rsid w:val="00114F36"/>
    <w:rsid w:val="00115C8F"/>
    <w:rsid w:val="00116C5D"/>
    <w:rsid w:val="001277D7"/>
    <w:rsid w:val="001366C7"/>
    <w:rsid w:val="00136875"/>
    <w:rsid w:val="00136DC9"/>
    <w:rsid w:val="00137A5D"/>
    <w:rsid w:val="001464BD"/>
    <w:rsid w:val="0015290E"/>
    <w:rsid w:val="00155991"/>
    <w:rsid w:val="00161020"/>
    <w:rsid w:val="00163406"/>
    <w:rsid w:val="001635D8"/>
    <w:rsid w:val="00175415"/>
    <w:rsid w:val="00176685"/>
    <w:rsid w:val="00177438"/>
    <w:rsid w:val="001826D9"/>
    <w:rsid w:val="00182F54"/>
    <w:rsid w:val="00183A31"/>
    <w:rsid w:val="0018583C"/>
    <w:rsid w:val="001A13EC"/>
    <w:rsid w:val="001A15FB"/>
    <w:rsid w:val="001A26A2"/>
    <w:rsid w:val="001A72DC"/>
    <w:rsid w:val="001B742C"/>
    <w:rsid w:val="001C12D9"/>
    <w:rsid w:val="001C28F4"/>
    <w:rsid w:val="001C4084"/>
    <w:rsid w:val="001D0B0D"/>
    <w:rsid w:val="001D23D9"/>
    <w:rsid w:val="001D5FEB"/>
    <w:rsid w:val="001E0066"/>
    <w:rsid w:val="001E1D96"/>
    <w:rsid w:val="001E2931"/>
    <w:rsid w:val="001E294F"/>
    <w:rsid w:val="001E2BCB"/>
    <w:rsid w:val="001E3418"/>
    <w:rsid w:val="001E3B04"/>
    <w:rsid w:val="001E6D12"/>
    <w:rsid w:val="001F4AB5"/>
    <w:rsid w:val="0020025B"/>
    <w:rsid w:val="002003B6"/>
    <w:rsid w:val="002018AB"/>
    <w:rsid w:val="002101D5"/>
    <w:rsid w:val="00210928"/>
    <w:rsid w:val="002127DC"/>
    <w:rsid w:val="00214163"/>
    <w:rsid w:val="00220120"/>
    <w:rsid w:val="0022047E"/>
    <w:rsid w:val="0022256B"/>
    <w:rsid w:val="0022608A"/>
    <w:rsid w:val="00231933"/>
    <w:rsid w:val="0023337A"/>
    <w:rsid w:val="00234F82"/>
    <w:rsid w:val="00236BDF"/>
    <w:rsid w:val="00241527"/>
    <w:rsid w:val="00243B7B"/>
    <w:rsid w:val="00251835"/>
    <w:rsid w:val="00257965"/>
    <w:rsid w:val="00270457"/>
    <w:rsid w:val="00272561"/>
    <w:rsid w:val="00276363"/>
    <w:rsid w:val="00276608"/>
    <w:rsid w:val="00277690"/>
    <w:rsid w:val="0028302A"/>
    <w:rsid w:val="0028650C"/>
    <w:rsid w:val="00286C43"/>
    <w:rsid w:val="002933AB"/>
    <w:rsid w:val="002941F0"/>
    <w:rsid w:val="00297746"/>
    <w:rsid w:val="00297940"/>
    <w:rsid w:val="002A1331"/>
    <w:rsid w:val="002A7D3B"/>
    <w:rsid w:val="002B073E"/>
    <w:rsid w:val="002B379E"/>
    <w:rsid w:val="002B71E8"/>
    <w:rsid w:val="002C10F8"/>
    <w:rsid w:val="002C2FC1"/>
    <w:rsid w:val="002C3BF7"/>
    <w:rsid w:val="002C551D"/>
    <w:rsid w:val="002C6583"/>
    <w:rsid w:val="002D1739"/>
    <w:rsid w:val="002D35BF"/>
    <w:rsid w:val="002E3059"/>
    <w:rsid w:val="002E3E1D"/>
    <w:rsid w:val="002E4731"/>
    <w:rsid w:val="002E494F"/>
    <w:rsid w:val="002F3021"/>
    <w:rsid w:val="002F328D"/>
    <w:rsid w:val="002F470D"/>
    <w:rsid w:val="00300C08"/>
    <w:rsid w:val="00303F95"/>
    <w:rsid w:val="00303FF4"/>
    <w:rsid w:val="003054F6"/>
    <w:rsid w:val="00305521"/>
    <w:rsid w:val="0031215F"/>
    <w:rsid w:val="003141EE"/>
    <w:rsid w:val="003151D4"/>
    <w:rsid w:val="00321FD5"/>
    <w:rsid w:val="0032257E"/>
    <w:rsid w:val="003320FD"/>
    <w:rsid w:val="003323F8"/>
    <w:rsid w:val="00333282"/>
    <w:rsid w:val="00333C40"/>
    <w:rsid w:val="0033661F"/>
    <w:rsid w:val="00351E56"/>
    <w:rsid w:val="00352F25"/>
    <w:rsid w:val="003554D6"/>
    <w:rsid w:val="00357AEE"/>
    <w:rsid w:val="0036240F"/>
    <w:rsid w:val="00365360"/>
    <w:rsid w:val="00367412"/>
    <w:rsid w:val="00370161"/>
    <w:rsid w:val="00371705"/>
    <w:rsid w:val="0037509A"/>
    <w:rsid w:val="00383E15"/>
    <w:rsid w:val="003840A6"/>
    <w:rsid w:val="0038665C"/>
    <w:rsid w:val="00396988"/>
    <w:rsid w:val="00396B87"/>
    <w:rsid w:val="003970E5"/>
    <w:rsid w:val="003A2AF0"/>
    <w:rsid w:val="003A674D"/>
    <w:rsid w:val="003B0242"/>
    <w:rsid w:val="003B1D07"/>
    <w:rsid w:val="003B31B8"/>
    <w:rsid w:val="003C1E62"/>
    <w:rsid w:val="003D76D2"/>
    <w:rsid w:val="003E3301"/>
    <w:rsid w:val="003E4BA3"/>
    <w:rsid w:val="003F0E30"/>
    <w:rsid w:val="003F7B06"/>
    <w:rsid w:val="00406C1D"/>
    <w:rsid w:val="00410330"/>
    <w:rsid w:val="00411150"/>
    <w:rsid w:val="004130D9"/>
    <w:rsid w:val="00413B59"/>
    <w:rsid w:val="00414C98"/>
    <w:rsid w:val="00421B1F"/>
    <w:rsid w:val="004253EE"/>
    <w:rsid w:val="004254E8"/>
    <w:rsid w:val="004264CB"/>
    <w:rsid w:val="0043003E"/>
    <w:rsid w:val="00432D1C"/>
    <w:rsid w:val="004347F0"/>
    <w:rsid w:val="00440C78"/>
    <w:rsid w:val="004425B4"/>
    <w:rsid w:val="00443DD2"/>
    <w:rsid w:val="004461C0"/>
    <w:rsid w:val="00446F3D"/>
    <w:rsid w:val="00447979"/>
    <w:rsid w:val="00454191"/>
    <w:rsid w:val="00471A38"/>
    <w:rsid w:val="00480885"/>
    <w:rsid w:val="00480ABC"/>
    <w:rsid w:val="00482D88"/>
    <w:rsid w:val="004843A4"/>
    <w:rsid w:val="00487700"/>
    <w:rsid w:val="00487A83"/>
    <w:rsid w:val="00490C34"/>
    <w:rsid w:val="00495A04"/>
    <w:rsid w:val="0049710D"/>
    <w:rsid w:val="00497D3D"/>
    <w:rsid w:val="004A6922"/>
    <w:rsid w:val="004A7FF9"/>
    <w:rsid w:val="004B01B0"/>
    <w:rsid w:val="004B046D"/>
    <w:rsid w:val="004B20AD"/>
    <w:rsid w:val="004B26DE"/>
    <w:rsid w:val="004B3C14"/>
    <w:rsid w:val="004B3F78"/>
    <w:rsid w:val="004B6270"/>
    <w:rsid w:val="004C61D1"/>
    <w:rsid w:val="004C66C3"/>
    <w:rsid w:val="004D07AE"/>
    <w:rsid w:val="004D30F0"/>
    <w:rsid w:val="004E5326"/>
    <w:rsid w:val="004F2CA7"/>
    <w:rsid w:val="00501234"/>
    <w:rsid w:val="0050505C"/>
    <w:rsid w:val="00510D0C"/>
    <w:rsid w:val="00511749"/>
    <w:rsid w:val="00514064"/>
    <w:rsid w:val="00515559"/>
    <w:rsid w:val="00516209"/>
    <w:rsid w:val="005200EC"/>
    <w:rsid w:val="00520166"/>
    <w:rsid w:val="0052396C"/>
    <w:rsid w:val="00524252"/>
    <w:rsid w:val="00526D62"/>
    <w:rsid w:val="0053008D"/>
    <w:rsid w:val="00536754"/>
    <w:rsid w:val="00540BF6"/>
    <w:rsid w:val="00541E8D"/>
    <w:rsid w:val="00544CBD"/>
    <w:rsid w:val="00546355"/>
    <w:rsid w:val="00546D44"/>
    <w:rsid w:val="00557929"/>
    <w:rsid w:val="00566EBF"/>
    <w:rsid w:val="00580711"/>
    <w:rsid w:val="00582561"/>
    <w:rsid w:val="00582DF5"/>
    <w:rsid w:val="00584EE7"/>
    <w:rsid w:val="00586B9F"/>
    <w:rsid w:val="00587768"/>
    <w:rsid w:val="00590839"/>
    <w:rsid w:val="0059164E"/>
    <w:rsid w:val="00593086"/>
    <w:rsid w:val="005940D1"/>
    <w:rsid w:val="00595FD0"/>
    <w:rsid w:val="005A0351"/>
    <w:rsid w:val="005A4B52"/>
    <w:rsid w:val="005A5326"/>
    <w:rsid w:val="005A61A6"/>
    <w:rsid w:val="005B07D3"/>
    <w:rsid w:val="005B2EF3"/>
    <w:rsid w:val="005C6D79"/>
    <w:rsid w:val="005C76E0"/>
    <w:rsid w:val="005D13D9"/>
    <w:rsid w:val="005D1B10"/>
    <w:rsid w:val="005D2815"/>
    <w:rsid w:val="005D4FDB"/>
    <w:rsid w:val="005D7523"/>
    <w:rsid w:val="005E3A99"/>
    <w:rsid w:val="005E5312"/>
    <w:rsid w:val="005F079B"/>
    <w:rsid w:val="005F0E09"/>
    <w:rsid w:val="0060035F"/>
    <w:rsid w:val="00600545"/>
    <w:rsid w:val="0060320E"/>
    <w:rsid w:val="00607186"/>
    <w:rsid w:val="00614BEE"/>
    <w:rsid w:val="00615F10"/>
    <w:rsid w:val="00620C27"/>
    <w:rsid w:val="006244A5"/>
    <w:rsid w:val="006270FA"/>
    <w:rsid w:val="0063364B"/>
    <w:rsid w:val="006358ED"/>
    <w:rsid w:val="00637F6B"/>
    <w:rsid w:val="006419A8"/>
    <w:rsid w:val="00643FF0"/>
    <w:rsid w:val="00647F22"/>
    <w:rsid w:val="006512E7"/>
    <w:rsid w:val="00652593"/>
    <w:rsid w:val="0065481B"/>
    <w:rsid w:val="006608BD"/>
    <w:rsid w:val="006614C8"/>
    <w:rsid w:val="006631BF"/>
    <w:rsid w:val="006638C9"/>
    <w:rsid w:val="00667370"/>
    <w:rsid w:val="006752C8"/>
    <w:rsid w:val="00676496"/>
    <w:rsid w:val="006958F7"/>
    <w:rsid w:val="006A16C7"/>
    <w:rsid w:val="006A283F"/>
    <w:rsid w:val="006B16C9"/>
    <w:rsid w:val="006B3CE3"/>
    <w:rsid w:val="006B3FC8"/>
    <w:rsid w:val="006B485A"/>
    <w:rsid w:val="006B5A89"/>
    <w:rsid w:val="006B69CA"/>
    <w:rsid w:val="006B7B3E"/>
    <w:rsid w:val="006C0DA3"/>
    <w:rsid w:val="006C13E6"/>
    <w:rsid w:val="006C53E7"/>
    <w:rsid w:val="006C65F6"/>
    <w:rsid w:val="006C7EDB"/>
    <w:rsid w:val="006D11B7"/>
    <w:rsid w:val="006D41D4"/>
    <w:rsid w:val="006D4846"/>
    <w:rsid w:val="006D561A"/>
    <w:rsid w:val="006D58F6"/>
    <w:rsid w:val="006D5A59"/>
    <w:rsid w:val="006E4BF9"/>
    <w:rsid w:val="006E5E16"/>
    <w:rsid w:val="006E637D"/>
    <w:rsid w:val="006E6421"/>
    <w:rsid w:val="006F0033"/>
    <w:rsid w:val="006F1896"/>
    <w:rsid w:val="006F6D91"/>
    <w:rsid w:val="006F7A94"/>
    <w:rsid w:val="00706E71"/>
    <w:rsid w:val="00710E47"/>
    <w:rsid w:val="0071460A"/>
    <w:rsid w:val="007163AA"/>
    <w:rsid w:val="00722198"/>
    <w:rsid w:val="0072265D"/>
    <w:rsid w:val="00723C04"/>
    <w:rsid w:val="00733E90"/>
    <w:rsid w:val="00734F06"/>
    <w:rsid w:val="007434E1"/>
    <w:rsid w:val="00743C15"/>
    <w:rsid w:val="00744456"/>
    <w:rsid w:val="007460D0"/>
    <w:rsid w:val="00746F14"/>
    <w:rsid w:val="0075574A"/>
    <w:rsid w:val="007603DC"/>
    <w:rsid w:val="00760FBB"/>
    <w:rsid w:val="00761F54"/>
    <w:rsid w:val="00764E54"/>
    <w:rsid w:val="007664F7"/>
    <w:rsid w:val="00767E8B"/>
    <w:rsid w:val="00770A60"/>
    <w:rsid w:val="0077148C"/>
    <w:rsid w:val="00773AE5"/>
    <w:rsid w:val="00776032"/>
    <w:rsid w:val="007817AC"/>
    <w:rsid w:val="00782A93"/>
    <w:rsid w:val="00784006"/>
    <w:rsid w:val="00784C79"/>
    <w:rsid w:val="00786016"/>
    <w:rsid w:val="007948C4"/>
    <w:rsid w:val="00796C4A"/>
    <w:rsid w:val="007A05A7"/>
    <w:rsid w:val="007A4012"/>
    <w:rsid w:val="007A5F25"/>
    <w:rsid w:val="007A702A"/>
    <w:rsid w:val="007B2A89"/>
    <w:rsid w:val="007B5095"/>
    <w:rsid w:val="007B518E"/>
    <w:rsid w:val="007C1190"/>
    <w:rsid w:val="007C26BC"/>
    <w:rsid w:val="007C431C"/>
    <w:rsid w:val="007D6567"/>
    <w:rsid w:val="007D7251"/>
    <w:rsid w:val="007D73CB"/>
    <w:rsid w:val="007E102B"/>
    <w:rsid w:val="007E2B6A"/>
    <w:rsid w:val="007E41E1"/>
    <w:rsid w:val="007E55A3"/>
    <w:rsid w:val="007E5FA3"/>
    <w:rsid w:val="007F0F46"/>
    <w:rsid w:val="007F73B1"/>
    <w:rsid w:val="008029FA"/>
    <w:rsid w:val="008043B7"/>
    <w:rsid w:val="008074AC"/>
    <w:rsid w:val="00811BA5"/>
    <w:rsid w:val="00813DB2"/>
    <w:rsid w:val="00814E0B"/>
    <w:rsid w:val="008218E2"/>
    <w:rsid w:val="0082481E"/>
    <w:rsid w:val="00832E1D"/>
    <w:rsid w:val="008346E6"/>
    <w:rsid w:val="00837DED"/>
    <w:rsid w:val="0084167C"/>
    <w:rsid w:val="008428F2"/>
    <w:rsid w:val="008544B9"/>
    <w:rsid w:val="00855A39"/>
    <w:rsid w:val="0086243F"/>
    <w:rsid w:val="0086465D"/>
    <w:rsid w:val="00865EA1"/>
    <w:rsid w:val="00873FF8"/>
    <w:rsid w:val="00875CCC"/>
    <w:rsid w:val="00890BB5"/>
    <w:rsid w:val="0089176C"/>
    <w:rsid w:val="00891A33"/>
    <w:rsid w:val="00891DA9"/>
    <w:rsid w:val="0089697C"/>
    <w:rsid w:val="00897BAC"/>
    <w:rsid w:val="008A1310"/>
    <w:rsid w:val="008A2ED8"/>
    <w:rsid w:val="008A6DBB"/>
    <w:rsid w:val="008A6E34"/>
    <w:rsid w:val="008A7765"/>
    <w:rsid w:val="008B5D00"/>
    <w:rsid w:val="008B6933"/>
    <w:rsid w:val="008B76D7"/>
    <w:rsid w:val="008C0BC2"/>
    <w:rsid w:val="008C3160"/>
    <w:rsid w:val="008C4840"/>
    <w:rsid w:val="008C7510"/>
    <w:rsid w:val="008D0986"/>
    <w:rsid w:val="008D2EDC"/>
    <w:rsid w:val="008E0C53"/>
    <w:rsid w:val="008E7123"/>
    <w:rsid w:val="008F6712"/>
    <w:rsid w:val="00901D08"/>
    <w:rsid w:val="0091084E"/>
    <w:rsid w:val="00911CAF"/>
    <w:rsid w:val="00911F7D"/>
    <w:rsid w:val="00915EC7"/>
    <w:rsid w:val="00922F32"/>
    <w:rsid w:val="00930516"/>
    <w:rsid w:val="0093152F"/>
    <w:rsid w:val="00934373"/>
    <w:rsid w:val="00934BD9"/>
    <w:rsid w:val="00942340"/>
    <w:rsid w:val="00943777"/>
    <w:rsid w:val="009466B0"/>
    <w:rsid w:val="00947217"/>
    <w:rsid w:val="00954433"/>
    <w:rsid w:val="00956013"/>
    <w:rsid w:val="00956876"/>
    <w:rsid w:val="00963FAF"/>
    <w:rsid w:val="0096524D"/>
    <w:rsid w:val="00975F64"/>
    <w:rsid w:val="00982C6F"/>
    <w:rsid w:val="009853FA"/>
    <w:rsid w:val="0098577C"/>
    <w:rsid w:val="00985FBB"/>
    <w:rsid w:val="0098615A"/>
    <w:rsid w:val="00991E9E"/>
    <w:rsid w:val="0099319D"/>
    <w:rsid w:val="009951FE"/>
    <w:rsid w:val="009A3BA2"/>
    <w:rsid w:val="009A461E"/>
    <w:rsid w:val="009B4488"/>
    <w:rsid w:val="009B4D56"/>
    <w:rsid w:val="009C4153"/>
    <w:rsid w:val="009C4BB2"/>
    <w:rsid w:val="009C6745"/>
    <w:rsid w:val="009C73F3"/>
    <w:rsid w:val="009D39A1"/>
    <w:rsid w:val="009E117F"/>
    <w:rsid w:val="009E20A2"/>
    <w:rsid w:val="009E5E39"/>
    <w:rsid w:val="009E63F4"/>
    <w:rsid w:val="009F157E"/>
    <w:rsid w:val="009F17FC"/>
    <w:rsid w:val="009F61A1"/>
    <w:rsid w:val="009F715F"/>
    <w:rsid w:val="009F783B"/>
    <w:rsid w:val="00A02782"/>
    <w:rsid w:val="00A031A7"/>
    <w:rsid w:val="00A04C87"/>
    <w:rsid w:val="00A100C1"/>
    <w:rsid w:val="00A108E0"/>
    <w:rsid w:val="00A14000"/>
    <w:rsid w:val="00A16CA1"/>
    <w:rsid w:val="00A25250"/>
    <w:rsid w:val="00A37227"/>
    <w:rsid w:val="00A40725"/>
    <w:rsid w:val="00A41399"/>
    <w:rsid w:val="00A4155B"/>
    <w:rsid w:val="00A451BB"/>
    <w:rsid w:val="00A45DAC"/>
    <w:rsid w:val="00A5223E"/>
    <w:rsid w:val="00A52EC7"/>
    <w:rsid w:val="00A575E3"/>
    <w:rsid w:val="00A6076D"/>
    <w:rsid w:val="00A62744"/>
    <w:rsid w:val="00A647DE"/>
    <w:rsid w:val="00A66034"/>
    <w:rsid w:val="00A66807"/>
    <w:rsid w:val="00A7144E"/>
    <w:rsid w:val="00A741CB"/>
    <w:rsid w:val="00A76EC4"/>
    <w:rsid w:val="00A81B25"/>
    <w:rsid w:val="00A85E6D"/>
    <w:rsid w:val="00A90761"/>
    <w:rsid w:val="00A927F5"/>
    <w:rsid w:val="00A9286E"/>
    <w:rsid w:val="00A96E8D"/>
    <w:rsid w:val="00AA036E"/>
    <w:rsid w:val="00AA55E7"/>
    <w:rsid w:val="00AB062A"/>
    <w:rsid w:val="00AB11A9"/>
    <w:rsid w:val="00AB775C"/>
    <w:rsid w:val="00AC41DA"/>
    <w:rsid w:val="00AC4E42"/>
    <w:rsid w:val="00AC611C"/>
    <w:rsid w:val="00AC6216"/>
    <w:rsid w:val="00AC7168"/>
    <w:rsid w:val="00AD1D62"/>
    <w:rsid w:val="00AD3979"/>
    <w:rsid w:val="00AD450D"/>
    <w:rsid w:val="00AD47F1"/>
    <w:rsid w:val="00AD4F2B"/>
    <w:rsid w:val="00AD539E"/>
    <w:rsid w:val="00AD74B0"/>
    <w:rsid w:val="00AE04D5"/>
    <w:rsid w:val="00AE28F6"/>
    <w:rsid w:val="00AE5245"/>
    <w:rsid w:val="00AF32B6"/>
    <w:rsid w:val="00AF3F1D"/>
    <w:rsid w:val="00B0348D"/>
    <w:rsid w:val="00B0391C"/>
    <w:rsid w:val="00B052AC"/>
    <w:rsid w:val="00B068F6"/>
    <w:rsid w:val="00B077FE"/>
    <w:rsid w:val="00B129D8"/>
    <w:rsid w:val="00B135B7"/>
    <w:rsid w:val="00B15CB8"/>
    <w:rsid w:val="00B16C4F"/>
    <w:rsid w:val="00B22924"/>
    <w:rsid w:val="00B2565D"/>
    <w:rsid w:val="00B25AD0"/>
    <w:rsid w:val="00B328C3"/>
    <w:rsid w:val="00B3527B"/>
    <w:rsid w:val="00B35AFB"/>
    <w:rsid w:val="00B41672"/>
    <w:rsid w:val="00B4413E"/>
    <w:rsid w:val="00B47DF5"/>
    <w:rsid w:val="00B5194E"/>
    <w:rsid w:val="00B52E58"/>
    <w:rsid w:val="00B53968"/>
    <w:rsid w:val="00B575B1"/>
    <w:rsid w:val="00B62271"/>
    <w:rsid w:val="00B64A88"/>
    <w:rsid w:val="00B71D61"/>
    <w:rsid w:val="00B737DE"/>
    <w:rsid w:val="00B74294"/>
    <w:rsid w:val="00B763CE"/>
    <w:rsid w:val="00B80E73"/>
    <w:rsid w:val="00B80F03"/>
    <w:rsid w:val="00B814EE"/>
    <w:rsid w:val="00B84B08"/>
    <w:rsid w:val="00B873C7"/>
    <w:rsid w:val="00B9071A"/>
    <w:rsid w:val="00B95B43"/>
    <w:rsid w:val="00BA093D"/>
    <w:rsid w:val="00BA162D"/>
    <w:rsid w:val="00BA7588"/>
    <w:rsid w:val="00BB08C8"/>
    <w:rsid w:val="00BB516F"/>
    <w:rsid w:val="00BB51F6"/>
    <w:rsid w:val="00BB6D66"/>
    <w:rsid w:val="00BC7198"/>
    <w:rsid w:val="00BC7AF0"/>
    <w:rsid w:val="00BC7DEB"/>
    <w:rsid w:val="00BD0F4C"/>
    <w:rsid w:val="00BD449B"/>
    <w:rsid w:val="00BD491D"/>
    <w:rsid w:val="00BE2185"/>
    <w:rsid w:val="00BF285C"/>
    <w:rsid w:val="00BF314E"/>
    <w:rsid w:val="00BF4067"/>
    <w:rsid w:val="00BF78B6"/>
    <w:rsid w:val="00BF7E9A"/>
    <w:rsid w:val="00C0562D"/>
    <w:rsid w:val="00C13EAB"/>
    <w:rsid w:val="00C15B4D"/>
    <w:rsid w:val="00C168BC"/>
    <w:rsid w:val="00C20493"/>
    <w:rsid w:val="00C247EB"/>
    <w:rsid w:val="00C251B0"/>
    <w:rsid w:val="00C252EE"/>
    <w:rsid w:val="00C32E0B"/>
    <w:rsid w:val="00C34E8B"/>
    <w:rsid w:val="00C432DF"/>
    <w:rsid w:val="00C436ED"/>
    <w:rsid w:val="00C46302"/>
    <w:rsid w:val="00C50450"/>
    <w:rsid w:val="00C54173"/>
    <w:rsid w:val="00C6347F"/>
    <w:rsid w:val="00C66613"/>
    <w:rsid w:val="00C74968"/>
    <w:rsid w:val="00C74B9E"/>
    <w:rsid w:val="00C829E5"/>
    <w:rsid w:val="00C836B2"/>
    <w:rsid w:val="00C83C40"/>
    <w:rsid w:val="00C86954"/>
    <w:rsid w:val="00C92937"/>
    <w:rsid w:val="00CA7B6E"/>
    <w:rsid w:val="00CB3F77"/>
    <w:rsid w:val="00CB454F"/>
    <w:rsid w:val="00CB4F34"/>
    <w:rsid w:val="00CC4D4A"/>
    <w:rsid w:val="00CD022F"/>
    <w:rsid w:val="00CD1552"/>
    <w:rsid w:val="00CD59C3"/>
    <w:rsid w:val="00CE1670"/>
    <w:rsid w:val="00CE2200"/>
    <w:rsid w:val="00CE2D8D"/>
    <w:rsid w:val="00CE52F5"/>
    <w:rsid w:val="00CE6448"/>
    <w:rsid w:val="00CE7033"/>
    <w:rsid w:val="00CE7B99"/>
    <w:rsid w:val="00CF20C8"/>
    <w:rsid w:val="00CF3A2F"/>
    <w:rsid w:val="00CF4012"/>
    <w:rsid w:val="00CF7419"/>
    <w:rsid w:val="00CF7913"/>
    <w:rsid w:val="00D01775"/>
    <w:rsid w:val="00D032BC"/>
    <w:rsid w:val="00D03641"/>
    <w:rsid w:val="00D043F7"/>
    <w:rsid w:val="00D110DE"/>
    <w:rsid w:val="00D1721D"/>
    <w:rsid w:val="00D20E82"/>
    <w:rsid w:val="00D2341E"/>
    <w:rsid w:val="00D239EE"/>
    <w:rsid w:val="00D255FD"/>
    <w:rsid w:val="00D36CBE"/>
    <w:rsid w:val="00D45F70"/>
    <w:rsid w:val="00D462ED"/>
    <w:rsid w:val="00D5541D"/>
    <w:rsid w:val="00D6199F"/>
    <w:rsid w:val="00D64826"/>
    <w:rsid w:val="00D71FC3"/>
    <w:rsid w:val="00D74DDE"/>
    <w:rsid w:val="00D83E97"/>
    <w:rsid w:val="00D859B7"/>
    <w:rsid w:val="00D94D44"/>
    <w:rsid w:val="00D969F1"/>
    <w:rsid w:val="00DB137D"/>
    <w:rsid w:val="00DB150D"/>
    <w:rsid w:val="00DB4CC5"/>
    <w:rsid w:val="00DB6C6C"/>
    <w:rsid w:val="00DC0EF7"/>
    <w:rsid w:val="00DC17C7"/>
    <w:rsid w:val="00DD0E8D"/>
    <w:rsid w:val="00DD1075"/>
    <w:rsid w:val="00DD38CF"/>
    <w:rsid w:val="00DD5E2B"/>
    <w:rsid w:val="00DE0E61"/>
    <w:rsid w:val="00DE22B5"/>
    <w:rsid w:val="00DE3B51"/>
    <w:rsid w:val="00DE55AB"/>
    <w:rsid w:val="00DE5DBE"/>
    <w:rsid w:val="00DF4E03"/>
    <w:rsid w:val="00E1062B"/>
    <w:rsid w:val="00E136C9"/>
    <w:rsid w:val="00E15330"/>
    <w:rsid w:val="00E1769B"/>
    <w:rsid w:val="00E22D6B"/>
    <w:rsid w:val="00E2716D"/>
    <w:rsid w:val="00E31171"/>
    <w:rsid w:val="00E32070"/>
    <w:rsid w:val="00E36506"/>
    <w:rsid w:val="00E41B12"/>
    <w:rsid w:val="00E45DD7"/>
    <w:rsid w:val="00E46243"/>
    <w:rsid w:val="00E46288"/>
    <w:rsid w:val="00E623BD"/>
    <w:rsid w:val="00E65E86"/>
    <w:rsid w:val="00E77E1E"/>
    <w:rsid w:val="00E82B88"/>
    <w:rsid w:val="00E840FA"/>
    <w:rsid w:val="00E860D5"/>
    <w:rsid w:val="00E90EF4"/>
    <w:rsid w:val="00EA06A2"/>
    <w:rsid w:val="00EA21E2"/>
    <w:rsid w:val="00EA7E11"/>
    <w:rsid w:val="00EB0E45"/>
    <w:rsid w:val="00EB4FDD"/>
    <w:rsid w:val="00EB59C5"/>
    <w:rsid w:val="00EB60B0"/>
    <w:rsid w:val="00EC0133"/>
    <w:rsid w:val="00EC30C4"/>
    <w:rsid w:val="00EC3FF4"/>
    <w:rsid w:val="00EC4404"/>
    <w:rsid w:val="00ED227C"/>
    <w:rsid w:val="00ED3D9E"/>
    <w:rsid w:val="00ED3F6E"/>
    <w:rsid w:val="00EE3ECD"/>
    <w:rsid w:val="00EE4315"/>
    <w:rsid w:val="00EE498F"/>
    <w:rsid w:val="00EF4486"/>
    <w:rsid w:val="00EF4566"/>
    <w:rsid w:val="00EF5131"/>
    <w:rsid w:val="00EF62F3"/>
    <w:rsid w:val="00F0275C"/>
    <w:rsid w:val="00F072E2"/>
    <w:rsid w:val="00F07BDF"/>
    <w:rsid w:val="00F103CA"/>
    <w:rsid w:val="00F10BAE"/>
    <w:rsid w:val="00F130DA"/>
    <w:rsid w:val="00F24AD7"/>
    <w:rsid w:val="00F24CF2"/>
    <w:rsid w:val="00F26DB4"/>
    <w:rsid w:val="00F270AB"/>
    <w:rsid w:val="00F304C9"/>
    <w:rsid w:val="00F30D71"/>
    <w:rsid w:val="00F410D7"/>
    <w:rsid w:val="00F41268"/>
    <w:rsid w:val="00F41551"/>
    <w:rsid w:val="00F4287E"/>
    <w:rsid w:val="00F440DB"/>
    <w:rsid w:val="00F44A5A"/>
    <w:rsid w:val="00F510A7"/>
    <w:rsid w:val="00F524CA"/>
    <w:rsid w:val="00F5310F"/>
    <w:rsid w:val="00F55263"/>
    <w:rsid w:val="00F65141"/>
    <w:rsid w:val="00F67A1A"/>
    <w:rsid w:val="00F70199"/>
    <w:rsid w:val="00F70AD6"/>
    <w:rsid w:val="00F72377"/>
    <w:rsid w:val="00F73CBC"/>
    <w:rsid w:val="00F76D10"/>
    <w:rsid w:val="00F8142E"/>
    <w:rsid w:val="00F84496"/>
    <w:rsid w:val="00F92CF4"/>
    <w:rsid w:val="00F949AA"/>
    <w:rsid w:val="00F96729"/>
    <w:rsid w:val="00FA66CB"/>
    <w:rsid w:val="00FA6C29"/>
    <w:rsid w:val="00FB1952"/>
    <w:rsid w:val="00FB3CB8"/>
    <w:rsid w:val="00FD08DA"/>
    <w:rsid w:val="00FD3190"/>
    <w:rsid w:val="00FD62D0"/>
    <w:rsid w:val="00FD7147"/>
    <w:rsid w:val="00FE022F"/>
    <w:rsid w:val="00FE1330"/>
    <w:rsid w:val="00FE2870"/>
    <w:rsid w:val="00FE3CA2"/>
    <w:rsid w:val="00FE4560"/>
    <w:rsid w:val="00FE50DE"/>
    <w:rsid w:val="00FE6356"/>
    <w:rsid w:val="00FE7AB8"/>
    <w:rsid w:val="00FF1FDE"/>
    <w:rsid w:val="00FF2B28"/>
    <w:rsid w:val="00FF37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0B979D"/>
  <w15:docId w15:val="{C5A174C4-36BA-45A2-A65A-BE3D1B3B7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4F"/>
    <w:pPr>
      <w:spacing w:after="120" w:line="240" w:lineRule="auto" w:before="0"/>
    </w:pPr>
    <w:rPr>
      <w:rFonts w:ascii="Times New Roman" w:hAnsi="Times New Roman"/>
      <w:color w:val="000000"/>
      <w:sz w:val="24"/>
      <w:szCs w:val="22"/>
    </w:rPr>
  </w:style>
  <w:style w:type="paragraph" w:styleId="Heading1">
    <w:name w:val="heading 1"/>
    <w:basedOn w:val="Normal"/>
    <w:next w:val="Normal"/>
    <w:link w:val="Heading1Char"/>
    <w:uiPriority w:val="9"/>
    <w:qFormat/>
    <w:rsid w:val="00367412"/>
    <w:pPr>
      <w:keepNext/>
      <w:spacing w:before="240" w:after="120"/>
      <w:outlineLvl w:val="0"/>
    </w:pPr>
    <w:rPr>
      <w:rFonts w:eastAsia="Times New Roman" w:ascii="Times New Roman" w:hAnsi="Times New Roman"/>
      <w:b/>
      <w:bCs/>
      <w:color w:val="1F4E78"/>
      <w:kern w:val="32"/>
      <w:sz w:val="28"/>
      <w:szCs w:val="32"/>
    </w:rPr>
  </w:style>
  <w:style w:type="paragraph" w:styleId="Heading2">
    <w:name w:val="heading 2"/>
    <w:basedOn w:val="Normal"/>
    <w:next w:val="BodyText"/>
    <w:link w:val="Heading2Char"/>
    <w:uiPriority w:val="9"/>
    <w:qFormat/>
    <w:rsid w:val="00367412"/>
    <w:pPr>
      <w:keepNext/>
      <w:spacing w:before="160" w:after="80"/>
      <w:outlineLvl w:val="1"/>
    </w:pPr>
    <w:rPr>
      <w:rFonts w:eastAsia="Times New Roman" w:ascii="Times New Roman" w:hAnsi="Times New Roman"/>
      <w:b/>
      <w:bCs/>
      <w:i/>
      <w:iCs/>
      <w:color w:val="1F4E78"/>
      <w:sz w:val="24"/>
      <w:szCs w:val="28"/>
    </w:rPr>
  </w:style>
  <w:style w:type="paragraph" w:styleId="Heading3">
    <w:name w:val="heading 3"/>
    <w:basedOn w:val="Normal"/>
    <w:next w:val="Normal"/>
    <w:link w:val="Heading3Char"/>
    <w:uiPriority w:val="9"/>
    <w:qFormat/>
    <w:rsid w:val="00367412"/>
    <w:pPr>
      <w:keepNext/>
      <w:spacing w:before="120" w:after="60"/>
      <w:outlineLvl w:val="2"/>
    </w:pPr>
    <w:rPr>
      <w:rFonts w:eastAsia="Times New Roman" w:ascii="Times New Roman" w:hAnsi="Times New Roman"/>
      <w:b/>
      <w:bCs/>
      <w:color w:val="1F4E78"/>
      <w:sz w:val="24"/>
      <w:szCs w:val="26"/>
    </w:rPr>
  </w:style>
  <w:style w:type="paragraph" w:styleId="Heading4">
    <w:name w:val="heading 4"/>
    <w:basedOn w:val="Normal"/>
    <w:next w:val="Normal"/>
    <w:link w:val="Heading4Char"/>
    <w:uiPriority w:val="9"/>
    <w:qFormat/>
    <w:rsid w:val="00ED3D9E"/>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13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E1330"/>
    <w:rPr>
      <w:rFonts w:ascii="Tahoma" w:hAnsi="Tahoma" w:cs="Tahoma"/>
      <w:sz w:val="16"/>
      <w:szCs w:val="16"/>
    </w:rPr>
  </w:style>
  <w:style w:type="paragraph" w:styleId="NoSpacing">
    <w:name w:val="No Spacing"/>
    <w:basedOn w:val="BodyText"/>
    <w:uiPriority w:val="1"/>
    <w:qFormat/>
    <w:rsid w:val="001E2BCB"/>
    <w:pPr>
      <w:spacing w:after="0"/>
    </w:pPr>
  </w:style>
  <w:style w:type="character" w:customStyle="1" w:styleId="Heading1Char">
    <w:name w:val="Heading 1 Char"/>
    <w:link w:val="Heading1"/>
    <w:uiPriority w:val="9"/>
    <w:rsid w:val="00367412"/>
    <w:rPr>
      <w:rFonts w:eastAsia="Times New Roman"/>
      <w:b/>
      <w:bCs/>
      <w:kern w:val="32"/>
      <w:sz w:val="32"/>
      <w:szCs w:val="32"/>
    </w:rPr>
  </w:style>
  <w:style w:type="character" w:customStyle="1" w:styleId="Heading2Char">
    <w:name w:val="Heading 2 Char"/>
    <w:link w:val="Heading2"/>
    <w:uiPriority w:val="9"/>
    <w:rsid w:val="00367412"/>
    <w:rPr>
      <w:rFonts w:ascii="Calibri" w:eastAsia="Times New Roman" w:hAnsi="Calibri"/>
      <w:b/>
      <w:bCs/>
      <w:i/>
      <w:iCs/>
      <w:sz w:val="28"/>
      <w:szCs w:val="28"/>
    </w:rPr>
  </w:style>
  <w:style w:type="character" w:customStyle="1" w:styleId="Heading3Char">
    <w:name w:val="Heading 3 Char"/>
    <w:link w:val="Heading3"/>
    <w:uiPriority w:val="9"/>
    <w:rsid w:val="00367412"/>
    <w:rPr>
      <w:rFonts w:ascii="Calibri" w:eastAsia="Times New Roman" w:hAnsi="Calibri"/>
      <w:b/>
      <w:bCs/>
      <w:sz w:val="26"/>
      <w:szCs w:val="26"/>
    </w:rPr>
  </w:style>
  <w:style w:type="character" w:customStyle="1" w:styleId="Heading4Char">
    <w:name w:val="Heading 4 Char"/>
    <w:link w:val="Heading4"/>
    <w:uiPriority w:val="9"/>
    <w:rsid w:val="00ED3D9E"/>
    <w:rPr>
      <w:rFonts w:ascii="Calibri" w:eastAsia="Times New Roman" w:hAnsi="Calibri" w:cs="Times New Roman"/>
      <w:b/>
      <w:bCs/>
      <w:sz w:val="28"/>
      <w:szCs w:val="28"/>
    </w:rPr>
  </w:style>
  <w:style w:type="table" w:styleId="TableGrid">
    <w:name w:val="Table Grid"/>
    <w:aliases w:val="DARPA_SOW"/>
    <w:basedOn w:val="TableNormal"/>
    <w:uiPriority w:val="59"/>
    <w:rsid w:val="003A67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Helvetica" w:hAnsi="Helvetica"/>
        <w:b/>
        <w:i w:val="0"/>
        <w:sz w:val="20"/>
      </w:rPr>
      <w:tblPr/>
      <w:tcPr>
        <w:tcBorders>
          <w:top w:val="nil"/>
          <w:left w:val="nil"/>
          <w:bottom w:val="nil"/>
          <w:right w:val="nil"/>
          <w:insideH w:val="nil"/>
          <w:insideV w:val="nil"/>
          <w:tl2br w:val="nil"/>
          <w:tr2bl w:val="nil"/>
        </w:tcBorders>
        <w:shd w:val="solid" w:color="17365D" w:fill="auto"/>
      </w:tcPr>
    </w:tblStylePr>
  </w:style>
  <w:style w:type="paragraph" w:styleId="Title">
    <w:name w:val="Title"/>
    <w:basedOn w:val="Normal"/>
    <w:next w:val="Normal"/>
    <w:link w:val="TitleChar"/>
    <w:qFormat/>
    <w:rsid w:val="00367412"/>
    <w:pPr>
      <w:spacing w:before="240" w:after="60"/>
      <w:jc w:val="center"/>
      <w:outlineLvl w:val="0"/>
    </w:pPr>
    <w:rPr>
      <w:rFonts w:eastAsia="Times New Roman"/>
      <w:b/>
      <w:bCs/>
      <w:kern w:val="28"/>
      <w:sz w:val="32"/>
      <w:szCs w:val="32"/>
    </w:rPr>
  </w:style>
  <w:style w:type="character" w:customStyle="1" w:styleId="TitleChar">
    <w:name w:val="Title Char"/>
    <w:link w:val="Title"/>
    <w:rsid w:val="00367412"/>
    <w:rPr>
      <w:rFonts w:ascii="Calibri" w:eastAsia="Times New Roman" w:hAnsi="Calibri"/>
      <w:b/>
      <w:bCs/>
      <w:kern w:val="28"/>
      <w:sz w:val="32"/>
      <w:szCs w:val="32"/>
    </w:rPr>
  </w:style>
  <w:style w:type="paragraph" w:styleId="Header">
    <w:name w:val="header"/>
    <w:basedOn w:val="Normal"/>
    <w:link w:val="HeaderChar"/>
    <w:uiPriority w:val="99"/>
    <w:unhideWhenUsed/>
    <w:rsid w:val="00F96729"/>
    <w:pPr>
      <w:tabs>
        <w:tab w:val="center" w:pos="4680"/>
        <w:tab w:val="right" w:pos="9360"/>
      </w:tabs>
    </w:pPr>
  </w:style>
  <w:style w:type="character" w:customStyle="1" w:styleId="HeaderChar">
    <w:name w:val="Header Char"/>
    <w:link w:val="Header"/>
    <w:uiPriority w:val="99"/>
    <w:rsid w:val="00F96729"/>
    <w:rPr>
      <w:sz w:val="24"/>
      <w:szCs w:val="22"/>
    </w:rPr>
  </w:style>
  <w:style w:type="paragraph" w:styleId="Footer">
    <w:name w:val="footer"/>
    <w:basedOn w:val="Normal"/>
    <w:link w:val="FooterChar"/>
    <w:uiPriority w:val="99"/>
    <w:unhideWhenUsed/>
    <w:rsid w:val="00F96729"/>
    <w:pPr>
      <w:tabs>
        <w:tab w:val="center" w:pos="4680"/>
        <w:tab w:val="right" w:pos="9360"/>
      </w:tabs>
    </w:pPr>
  </w:style>
  <w:style w:type="character" w:customStyle="1" w:styleId="FooterChar">
    <w:name w:val="Footer Char"/>
    <w:link w:val="Footer"/>
    <w:uiPriority w:val="99"/>
    <w:rsid w:val="00F96729"/>
    <w:rPr>
      <w:sz w:val="24"/>
      <w:szCs w:val="22"/>
    </w:rPr>
  </w:style>
  <w:style w:type="paragraph" w:styleId="TOCHeading">
    <w:name w:val="TOC Heading"/>
    <w:basedOn w:val="Heading1"/>
    <w:next w:val="Normal"/>
    <w:uiPriority w:val="39"/>
    <w:qFormat/>
    <w:rsid w:val="00F130DA"/>
    <w:pPr>
      <w:keepLines/>
      <w:spacing w:before="480" w:after="0"/>
      <w:outlineLvl w:val="9"/>
    </w:pPr>
    <w:rPr>
      <w:color w:val="365F91"/>
      <w:kern w:val="0"/>
      <w:sz w:val="28"/>
      <w:szCs w:val="28"/>
    </w:rPr>
  </w:style>
  <w:style w:type="paragraph" w:styleId="TOC1">
    <w:name w:val="toc 1"/>
    <w:basedOn w:val="BodyText"/>
    <w:next w:val="BodyText"/>
    <w:autoRedefine/>
    <w:uiPriority w:val="39"/>
    <w:unhideWhenUsed/>
    <w:rsid w:val="001E2BCB"/>
    <w:pPr>
      <w:tabs>
        <w:tab w:val="left" w:pos="480"/>
        <w:tab w:val="right" w:leader="dot" w:pos="9350"/>
      </w:tabs>
    </w:pPr>
  </w:style>
  <w:style w:type="character" w:styleId="Hyperlink">
    <w:name w:val="Hyperlink"/>
    <w:uiPriority w:val="99"/>
    <w:unhideWhenUsed/>
    <w:rsid w:val="00F130DA"/>
    <w:rPr>
      <w:color w:val="0000FF"/>
      <w:u w:val="single"/>
    </w:rPr>
  </w:style>
  <w:style w:type="character" w:customStyle="1" w:styleId="ProposalRequirements">
    <w:name w:val="ProposalRequirements"/>
    <w:qFormat/>
    <w:rsid w:val="00F130DA"/>
    <w:rPr>
      <w:i/>
      <w:iCs/>
      <w:color w:val="00B050"/>
    </w:rPr>
  </w:style>
  <w:style w:type="paragraph" w:styleId="TOC2">
    <w:name w:val="toc 2"/>
    <w:basedOn w:val="BodyText"/>
    <w:next w:val="BodyText"/>
    <w:autoRedefine/>
    <w:uiPriority w:val="39"/>
    <w:unhideWhenUsed/>
    <w:rsid w:val="00115C8F"/>
    <w:pPr>
      <w:ind w:left="240"/>
    </w:pPr>
  </w:style>
  <w:style w:type="paragraph" w:styleId="TOC3">
    <w:name w:val="toc 3"/>
    <w:basedOn w:val="BodyText"/>
    <w:next w:val="BodyText"/>
    <w:autoRedefine/>
    <w:uiPriority w:val="39"/>
    <w:unhideWhenUsed/>
    <w:rsid w:val="00115C8F"/>
    <w:pPr>
      <w:ind w:left="480"/>
    </w:pPr>
  </w:style>
  <w:style w:type="table" w:styleId="LightList-Accent3">
    <w:name w:val="Light List Accent 3"/>
    <w:basedOn w:val="TableNormal"/>
    <w:uiPriority w:val="61"/>
    <w:rsid w:val="00F4287E"/>
    <w:rPr>
      <w:rFonts w:eastAsia="Times New Roman"/>
      <w:sz w:val="22"/>
      <w:szCs w:val="22"/>
      <w:lang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11">
    <w:name w:val="Light List - Accent 11"/>
    <w:basedOn w:val="TableNormal"/>
    <w:uiPriority w:val="61"/>
    <w:rsid w:val="00F4287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ableHeading">
    <w:name w:val="Table_Heading"/>
    <w:basedOn w:val="NoSpacing"/>
    <w:rsid w:val="003A674D"/>
    <w:pPr>
      <w:jc w:val="center"/>
    </w:pPr>
    <w:rPr>
      <w:rFonts w:eastAsia="Times New Roman"/>
      <w:b/>
      <w:bCs/>
      <w:szCs w:val="20"/>
    </w:rPr>
  </w:style>
  <w:style w:type="paragraph" w:customStyle="1" w:styleId="TableText">
    <w:name w:val="Table_Text"/>
    <w:basedOn w:val="NoSpacing"/>
    <w:rsid w:val="008074AC"/>
    <w:rPr>
      <w:sz w:val="20"/>
    </w:rPr>
  </w:style>
  <w:style w:type="character" w:customStyle="1" w:styleId="ProposalRequirementsTable">
    <w:name w:val="ProposalRequirements_Table"/>
    <w:rsid w:val="008074AC"/>
    <w:rPr>
      <w:i/>
      <w:iCs/>
      <w:color w:val="00B050"/>
      <w:sz w:val="20"/>
    </w:rPr>
  </w:style>
  <w:style w:type="paragraph" w:customStyle="1" w:styleId="TabeTextCenteredBold">
    <w:name w:val="Tabe_Text_Centered_Bold"/>
    <w:basedOn w:val="TableText"/>
    <w:next w:val="TableText"/>
    <w:rsid w:val="008074AC"/>
    <w:pPr>
      <w:jc w:val="center"/>
    </w:pPr>
    <w:rPr>
      <w:rFonts w:eastAsia="Times New Roman"/>
      <w:szCs w:val="20"/>
    </w:rPr>
  </w:style>
  <w:style w:type="paragraph" w:customStyle="1" w:styleId="TableTextCenteredBold">
    <w:name w:val="Table_Text_Centered_Bold"/>
    <w:basedOn w:val="TableText"/>
    <w:next w:val="TableText"/>
    <w:rsid w:val="008074AC"/>
    <w:pPr>
      <w:jc w:val="center"/>
    </w:pPr>
    <w:rPr>
      <w:rFonts w:eastAsia="Times New Roman"/>
      <w:b/>
      <w:bCs/>
      <w:szCs w:val="20"/>
    </w:rPr>
  </w:style>
  <w:style w:type="paragraph" w:customStyle="1" w:styleId="TableTextLeftBold">
    <w:name w:val="Table_Text_Left_Bold"/>
    <w:basedOn w:val="TableText"/>
    <w:next w:val="TableText"/>
    <w:rsid w:val="008074AC"/>
    <w:rPr>
      <w:b/>
      <w:bCs/>
    </w:rPr>
  </w:style>
  <w:style w:type="paragraph" w:customStyle="1" w:styleId="TableText0">
    <w:name w:val="TableText"/>
    <w:basedOn w:val="NoSpacing"/>
    <w:rsid w:val="008074AC"/>
    <w:rPr>
      <w:sz w:val="20"/>
    </w:rPr>
  </w:style>
  <w:style w:type="paragraph" w:customStyle="1" w:styleId="Default">
    <w:name w:val="Default"/>
    <w:rsid w:val="008218E2"/>
    <w:pPr>
      <w:autoSpaceDE w:val="0"/>
      <w:autoSpaceDN w:val="0"/>
      <w:adjustRightInd w:val="0"/>
    </w:pPr>
    <w:rPr>
      <w:rFonts w:cs="Calibri"/>
      <w:color w:val="000000"/>
      <w:sz w:val="24"/>
      <w:szCs w:val="24"/>
    </w:rPr>
  </w:style>
  <w:style w:type="paragraph" w:customStyle="1" w:styleId="TableText8pt">
    <w:name w:val="Table_Text_8pt"/>
    <w:basedOn w:val="TableText"/>
    <w:rsid w:val="008218E2"/>
    <w:rPr>
      <w:sz w:val="16"/>
    </w:rPr>
  </w:style>
  <w:style w:type="paragraph" w:styleId="Caption">
    <w:name w:val="caption"/>
    <w:basedOn w:val="BodyText"/>
    <w:next w:val="BodyText"/>
    <w:uiPriority w:val="35"/>
    <w:qFormat/>
    <w:rsid w:val="002C6583"/>
    <w:rPr>
      <w:b/>
      <w:bCs/>
      <w:sz w:val="20"/>
      <w:szCs w:val="20"/>
    </w:rPr>
  </w:style>
  <w:style w:type="character" w:customStyle="1" w:styleId="CrossRefs">
    <w:name w:val="CrossRefs"/>
    <w:uiPriority w:val="1"/>
    <w:qFormat/>
    <w:rsid w:val="006F6D91"/>
    <w:rPr>
      <w:color w:val="0070C0"/>
      <w:u w:val="single"/>
    </w:rPr>
  </w:style>
  <w:style w:type="character" w:customStyle="1" w:styleId="StyleBlueUnderline">
    <w:name w:val="Style Blue Underline"/>
    <w:rsid w:val="0089697C"/>
    <w:rPr>
      <w:color w:val="0000FF"/>
      <w:u w:val="single"/>
    </w:rPr>
  </w:style>
  <w:style w:type="character" w:styleId="FollowedHyperlink">
    <w:name w:val="FollowedHyperlink"/>
    <w:uiPriority w:val="99"/>
    <w:semiHidden/>
    <w:unhideWhenUsed/>
    <w:rsid w:val="00782A93"/>
    <w:rPr>
      <w:color w:val="800080"/>
      <w:u w:val="single"/>
    </w:rPr>
  </w:style>
  <w:style w:type="character" w:customStyle="1" w:styleId="StyleBold">
    <w:name w:val="Style Bold"/>
    <w:rsid w:val="00DE5DBE"/>
    <w:rPr>
      <w:b/>
      <w:bCs/>
    </w:rPr>
  </w:style>
  <w:style w:type="numbering" w:customStyle="1" w:styleId="StyleBulletedGreen">
    <w:name w:val="Style Bulleted Green"/>
    <w:basedOn w:val="NoList"/>
    <w:rsid w:val="00DE5DBE"/>
    <w:pPr>
      <w:numPr>
        <w:numId w:val="2"/>
      </w:numPr>
    </w:pPr>
  </w:style>
  <w:style w:type="character" w:styleId="BookTitle">
    <w:name w:val="Book Title"/>
    <w:uiPriority w:val="33"/>
    <w:qFormat/>
    <w:rsid w:val="00CE52F5"/>
    <w:rPr>
      <w:b/>
      <w:bCs/>
      <w:smallCaps/>
      <w:spacing w:val="5"/>
    </w:rPr>
  </w:style>
  <w:style w:type="paragraph" w:styleId="Subtitle">
    <w:name w:val="Subtitle"/>
    <w:basedOn w:val="Normal"/>
    <w:next w:val="Normal"/>
    <w:link w:val="SubtitleChar"/>
    <w:uiPriority w:val="11"/>
    <w:qFormat/>
    <w:rsid w:val="00367412"/>
    <w:pPr>
      <w:spacing w:after="60"/>
      <w:jc w:val="center"/>
      <w:outlineLvl w:val="1"/>
    </w:pPr>
    <w:rPr>
      <w:rFonts w:eastAsia="Times New Roman"/>
      <w:szCs w:val="24"/>
    </w:rPr>
  </w:style>
  <w:style w:type="character" w:customStyle="1" w:styleId="SubtitleChar">
    <w:name w:val="Subtitle Char"/>
    <w:link w:val="Subtitle"/>
    <w:uiPriority w:val="11"/>
    <w:rsid w:val="00367412"/>
    <w:rPr>
      <w:rFonts w:ascii="Calibri" w:eastAsia="Times New Roman" w:hAnsi="Calibri" w:cs="Times New Roman"/>
      <w:sz w:val="24"/>
      <w:szCs w:val="24"/>
    </w:rPr>
  </w:style>
  <w:style w:type="paragraph" w:customStyle="1" w:styleId="TitleNoOutline">
    <w:name w:val="Title_No_Outline"/>
    <w:basedOn w:val="BodyText"/>
    <w:next w:val="BodyText"/>
    <w:qFormat/>
    <w:rsid w:val="007D6567"/>
    <w:pPr>
      <w:spacing w:before="240" w:after="60"/>
      <w:jc w:val="center"/>
    </w:pPr>
    <w:rPr>
      <w:b/>
      <w:sz w:val="32"/>
    </w:rPr>
  </w:style>
  <w:style w:type="paragraph" w:customStyle="1" w:styleId="SubtitleNoOutline">
    <w:name w:val="Subtitle_No_Outline"/>
    <w:basedOn w:val="TitleNoOutline"/>
    <w:next w:val="BodyText"/>
    <w:qFormat/>
    <w:rsid w:val="007D6567"/>
    <w:rPr>
      <w:b w:val="0"/>
      <w:sz w:val="28"/>
    </w:rPr>
  </w:style>
  <w:style w:type="paragraph" w:customStyle="1" w:styleId="BodyText">
    <w:name w:val="BodyText"/>
    <w:qFormat/>
    <w:rsid w:val="00544CBD"/>
    <w:pPr>
      <w:spacing w:after="120"/>
    </w:pPr>
    <w:rPr>
      <w:sz w:val="24"/>
      <w:szCs w:val="22"/>
    </w:rPr>
  </w:style>
  <w:style w:type="paragraph" w:styleId="ListParagraph">
    <w:name w:val="List Paragraph"/>
    <w:basedOn w:val="BodyText"/>
    <w:link w:val="ListParagraphChar"/>
    <w:uiPriority w:val="34"/>
    <w:qFormat/>
    <w:rsid w:val="00FF2B28"/>
    <w:pPr>
      <w:ind w:left="720"/>
    </w:pPr>
  </w:style>
  <w:style w:type="paragraph" w:customStyle="1" w:styleId="Heading3NoOutline">
    <w:name w:val="Heading3_No_Outline"/>
    <w:basedOn w:val="BodyText"/>
    <w:next w:val="BodyText"/>
    <w:rsid w:val="007F0F46"/>
    <w:pPr>
      <w:spacing w:before="240" w:after="0"/>
    </w:pPr>
    <w:rPr>
      <w:b/>
      <w:sz w:val="26"/>
    </w:rPr>
  </w:style>
  <w:style w:type="character" w:styleId="CommentReference">
    <w:name w:val="annotation reference"/>
    <w:uiPriority w:val="99"/>
    <w:semiHidden/>
    <w:unhideWhenUsed/>
    <w:rsid w:val="000C5BAA"/>
    <w:rPr>
      <w:sz w:val="16"/>
      <w:szCs w:val="16"/>
    </w:rPr>
  </w:style>
  <w:style w:type="paragraph" w:styleId="CommentText">
    <w:name w:val="annotation text"/>
    <w:basedOn w:val="Normal"/>
    <w:link w:val="CommentTextChar"/>
    <w:uiPriority w:val="99"/>
    <w:unhideWhenUsed/>
    <w:rsid w:val="000C5BAA"/>
    <w:rPr>
      <w:sz w:val="20"/>
      <w:szCs w:val="20"/>
    </w:rPr>
  </w:style>
  <w:style w:type="character" w:customStyle="1" w:styleId="CommentTextChar">
    <w:name w:val="Comment Text Char"/>
    <w:basedOn w:val="DefaultParagraphFont"/>
    <w:link w:val="CommentText"/>
    <w:uiPriority w:val="99"/>
    <w:rsid w:val="000C5BAA"/>
  </w:style>
  <w:style w:type="paragraph" w:styleId="CommentSubject">
    <w:name w:val="annotation subject"/>
    <w:basedOn w:val="CommentText"/>
    <w:next w:val="CommentText"/>
    <w:link w:val="CommentSubjectChar"/>
    <w:uiPriority w:val="99"/>
    <w:semiHidden/>
    <w:unhideWhenUsed/>
    <w:rsid w:val="000C5BAA"/>
    <w:rPr>
      <w:b/>
      <w:bCs/>
    </w:rPr>
  </w:style>
  <w:style w:type="character" w:customStyle="1" w:styleId="CommentSubjectChar">
    <w:name w:val="Comment Subject Char"/>
    <w:link w:val="CommentSubject"/>
    <w:uiPriority w:val="99"/>
    <w:semiHidden/>
    <w:rsid w:val="000C5BAA"/>
    <w:rPr>
      <w:b/>
      <w:bCs/>
    </w:rPr>
  </w:style>
  <w:style w:type="paragraph" w:styleId="TOC4">
    <w:name w:val="toc 4"/>
    <w:basedOn w:val="Normal"/>
    <w:next w:val="Normal"/>
    <w:autoRedefine/>
    <w:uiPriority w:val="39"/>
    <w:rsid w:val="00A66807"/>
    <w:pPr>
      <w:spacing w:after="100" w:line="240" w:lineRule="auto"/>
      <w:ind w:left="720"/>
    </w:pPr>
    <w:rPr>
      <w:rFonts w:ascii="Times New Roman" w:eastAsia="Times New Roman" w:hAnsi="Times New Roman"/>
      <w:szCs w:val="24"/>
    </w:rPr>
  </w:style>
  <w:style w:type="table" w:customStyle="1" w:styleId="TableGrid1">
    <w:name w:val="Table Grid1"/>
    <w:basedOn w:val="TableNormal"/>
    <w:next w:val="TableGrid"/>
    <w:uiPriority w:val="39"/>
    <w:rsid w:val="00D859B7"/>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
    <w:name w:val="Current List1"/>
    <w:rsid w:val="000B1E23"/>
    <w:pPr>
      <w:numPr>
        <w:numId w:val="3"/>
      </w:numPr>
    </w:pPr>
  </w:style>
  <w:style w:type="table" w:customStyle="1" w:styleId="TableGrid2">
    <w:name w:val="Table Grid2"/>
    <w:basedOn w:val="TableNormal"/>
    <w:next w:val="TableGrid"/>
    <w:rsid w:val="00F270AB"/>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uiPriority w:val="99"/>
    <w:unhideWhenUsed/>
    <w:rsid w:val="008D098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D0986"/>
    <w:rPr>
      <w:rFonts w:ascii="Consolas" w:hAnsi="Consolas"/>
      <w:sz w:val="21"/>
      <w:szCs w:val="21"/>
    </w:rPr>
  </w:style>
  <w:style w:type="paragraph" w:styleId="Revision">
    <w:name w:val="Revision"/>
    <w:hidden/>
    <w:uiPriority w:val="99"/>
    <w:semiHidden/>
    <w:rsid w:val="00AF32B6"/>
    <w:rPr>
      <w:sz w:val="24"/>
      <w:szCs w:val="22"/>
    </w:rPr>
  </w:style>
  <w:style w:type="paragraph" w:customStyle="1" w:styleId="comments">
    <w:name w:val="comments"/>
    <w:basedOn w:val="CommentText"/>
    <w:link w:val="commentsChar"/>
    <w:qFormat/>
    <w:rsid w:val="00F07BDF"/>
    <w:pPr>
      <w:spacing w:after="0" w:line="240" w:lineRule="auto"/>
    </w:pPr>
    <w:rPr>
      <w:rFonts w:ascii="Arial" w:eastAsia="Times New Roman" w:hAnsi="Arial" w:cs="Arial"/>
    </w:rPr>
  </w:style>
  <w:style w:type="character" w:customStyle="1" w:styleId="commentsChar">
    <w:name w:val="comments Char"/>
    <w:basedOn w:val="DefaultParagraphFont"/>
    <w:link w:val="comments"/>
    <w:rsid w:val="00F07BDF"/>
    <w:rPr>
      <w:rFonts w:ascii="Arial" w:eastAsia="Times New Roman" w:hAnsi="Arial" w:cs="Arial"/>
    </w:rPr>
  </w:style>
  <w:style w:type="table" w:customStyle="1" w:styleId="TableGrid11">
    <w:name w:val="Table Grid11"/>
    <w:basedOn w:val="TableNormal"/>
    <w:next w:val="TableGrid"/>
    <w:rsid w:val="007817AC"/>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rsid w:val="0052396C"/>
    <w:rPr>
      <w:sz w:val="24"/>
      <w:szCs w:val="22"/>
    </w:rPr>
  </w:style>
  <w:style w:type="character" w:styleId="Mention">
    <w:name w:val="Mention"/>
    <w:basedOn w:val="DefaultParagraphFont"/>
    <w:uiPriority w:val="99"/>
    <w:unhideWhenUsed/>
    <w:rsid w:val="00B052A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231903">
      <w:bodyDiv w:val="1"/>
      <w:marLeft w:val="0"/>
      <w:marRight w:val="0"/>
      <w:marTop w:val="0"/>
      <w:marBottom w:val="0"/>
      <w:divBdr>
        <w:top w:val="none" w:sz="0" w:space="0" w:color="auto"/>
        <w:left w:val="none" w:sz="0" w:space="0" w:color="auto"/>
        <w:bottom w:val="none" w:sz="0" w:space="0" w:color="auto"/>
        <w:right w:val="none" w:sz="0" w:space="0" w:color="auto"/>
      </w:divBdr>
    </w:div>
    <w:div w:id="1817986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fontTable" Target="fontTable.xml"/><Relationship Id="rId7" Type="http://schemas.openxmlformats.org/officeDocument/2006/relationships/settings" Target="settings.xml"/><Relationship Id="rId17" Type="http://schemas.openxmlformats.org/officeDocument/2006/relationships/footer" Target="footer1.xml"/><Relationship Id="rId16" Type="http://schemas.openxmlformats.org/officeDocument/2006/relationships/header" Target="header1.xml"/><Relationship Id="rId20" Type="http://schemas.openxmlformats.org/officeDocument/2006/relationships/theme" Target="theme/theme1.xml"/><Relationship Id="rId6" Type="http://schemas.openxmlformats.org/officeDocument/2006/relationships/styles" Target="styles.xml"/><Relationship Id="rId11" Type="http://schemas.openxmlformats.org/officeDocument/2006/relationships/hyperlink" Target="https://www.darpa.mil/about/offices/contracts-management/proposer-general-terms" TargetMode="External"/><Relationship Id="rId5" Type="http://schemas.openxmlformats.org/officeDocument/2006/relationships/numbering" Target="numbering.xml"/><Relationship Id="rId10" Type="http://schemas.openxmlformats.org/officeDocument/2006/relationships/endnotes" Target="endnotes.xml"/><Relationship Id="rId9" Type="http://schemas.openxmlformats.org/officeDocument/2006/relationships/footnotes" Target="footnotes.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4</Pages>
  <Words>908</Words>
  <Characters>5180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Wyle Information Systems - DARPA</Company>
  <LinksUpToDate>false</LinksUpToDate>
  <CharactersWithSpaces>6076</CharactersWithSpaces>
  <SharedDoc>false</SharedDoc>
  <HLinks>
    <vt:vector size="60" baseType="variant">
      <vt:variant>
        <vt:i4>2031669</vt:i4>
      </vt:variant>
      <vt:variant>
        <vt:i4>35</vt:i4>
      </vt:variant>
      <vt:variant>
        <vt:i4>0</vt:i4>
      </vt:variant>
      <vt:variant>
        <vt:i4>5</vt:i4>
      </vt:variant>
      <vt:variant>
        <vt:lpwstr/>
      </vt:variant>
      <vt:variant>
        <vt:lpwstr>_Toc230249301</vt:lpwstr>
      </vt:variant>
      <vt:variant>
        <vt:i4>2031669</vt:i4>
      </vt:variant>
      <vt:variant>
        <vt:i4>29</vt:i4>
      </vt:variant>
      <vt:variant>
        <vt:i4>0</vt:i4>
      </vt:variant>
      <vt:variant>
        <vt:i4>5</vt:i4>
      </vt:variant>
      <vt:variant>
        <vt:lpwstr/>
      </vt:variant>
      <vt:variant>
        <vt:lpwstr>_Toc230249300</vt:lpwstr>
      </vt:variant>
      <vt:variant>
        <vt:i4>1441844</vt:i4>
      </vt:variant>
      <vt:variant>
        <vt:i4>23</vt:i4>
      </vt:variant>
      <vt:variant>
        <vt:i4>0</vt:i4>
      </vt:variant>
      <vt:variant>
        <vt:i4>5</vt:i4>
      </vt:variant>
      <vt:variant>
        <vt:lpwstr/>
      </vt:variant>
      <vt:variant>
        <vt:lpwstr>_Toc230249299</vt:lpwstr>
      </vt:variant>
      <vt:variant>
        <vt:i4>1441844</vt:i4>
      </vt:variant>
      <vt:variant>
        <vt:i4>17</vt:i4>
      </vt:variant>
      <vt:variant>
        <vt:i4>0</vt:i4>
      </vt:variant>
      <vt:variant>
        <vt:i4>5</vt:i4>
      </vt:variant>
      <vt:variant>
        <vt:lpwstr/>
      </vt:variant>
      <vt:variant>
        <vt:lpwstr>_Toc230249298</vt:lpwstr>
      </vt:variant>
      <vt:variant>
        <vt:i4>1441844</vt:i4>
      </vt:variant>
      <vt:variant>
        <vt:i4>11</vt:i4>
      </vt:variant>
      <vt:variant>
        <vt:i4>0</vt:i4>
      </vt:variant>
      <vt:variant>
        <vt:i4>5</vt:i4>
      </vt:variant>
      <vt:variant>
        <vt:lpwstr/>
      </vt:variant>
      <vt:variant>
        <vt:lpwstr>_Toc230249297</vt:lpwstr>
      </vt:variant>
      <vt:variant>
        <vt:i4>1441844</vt:i4>
      </vt:variant>
      <vt:variant>
        <vt:i4>5</vt:i4>
      </vt:variant>
      <vt:variant>
        <vt:i4>0</vt:i4>
      </vt:variant>
      <vt:variant>
        <vt:i4>5</vt:i4>
      </vt:variant>
      <vt:variant>
        <vt:lpwstr/>
      </vt:variant>
      <vt:variant>
        <vt:lpwstr>_Toc230249296</vt:lpwstr>
      </vt:variant>
      <vt:variant>
        <vt:i4>6750304</vt:i4>
      </vt:variant>
      <vt:variant>
        <vt:i4>0</vt:i4>
      </vt:variant>
      <vt:variant>
        <vt:i4>0</vt:i4>
      </vt:variant>
      <vt:variant>
        <vt:i4>5</vt:i4>
      </vt:variant>
      <vt:variant>
        <vt:lpwstr>https://www.darpa.mil/about/offices/contracts-management/proposer-general-terms</vt:lpwstr>
      </vt:variant>
      <vt:variant>
        <vt:lpwstr/>
      </vt:variant>
      <vt:variant>
        <vt:i4>3407878</vt:i4>
      </vt:variant>
      <vt:variant>
        <vt:i4>6</vt:i4>
      </vt:variant>
      <vt:variant>
        <vt:i4>0</vt:i4>
      </vt:variant>
      <vt:variant>
        <vt:i4>5</vt:i4>
      </vt:variant>
      <vt:variant>
        <vt:lpwstr>mailto:bethany.kershner.ctr@darpa.mil</vt:lpwstr>
      </vt:variant>
      <vt:variant>
        <vt:lpwstr/>
      </vt:variant>
      <vt:variant>
        <vt:i4>4259880</vt:i4>
      </vt:variant>
      <vt:variant>
        <vt:i4>3</vt:i4>
      </vt:variant>
      <vt:variant>
        <vt:i4>0</vt:i4>
      </vt:variant>
      <vt:variant>
        <vt:i4>5</vt:i4>
      </vt:variant>
      <vt:variant>
        <vt:lpwstr>mailto:dawn.montgomery@darpa.mil</vt:lpwstr>
      </vt:variant>
      <vt:variant>
        <vt:lpwstr/>
      </vt:variant>
      <vt:variant>
        <vt:i4>3014669</vt:i4>
      </vt:variant>
      <vt:variant>
        <vt:i4>0</vt:i4>
      </vt:variant>
      <vt:variant>
        <vt:i4>0</vt:i4>
      </vt:variant>
      <vt:variant>
        <vt:i4>5</vt:i4>
      </vt:variant>
      <vt:variant>
        <vt:lpwstr>mailto:rinku.parikh.ctr@darpa.mil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Coherence-Bounded Peer Mesh: Sparse Task Markets and Local Inference Control for Resilient Heterogeneous AI Collectives</dc:title>
  <dc:subject>DARPA DICE HR001126S0010 TA1/TA2 Abstract</dc:subject>
  <dc:creator>Robert Ashworth</dc:creator>
  <cp:keywords/>
  <cp:lastModifiedBy>LumenCore</cp:lastModifiedBy>
  <cp:revision>1</cp:revision>
  <dcterms:created xsi:type="dcterms:W3CDTF">2026-06-19T00:00:00Z</dcterms:created>
  <dcterms:modified xsi:type="dcterms:W3CDTF">2026-06-19T00:00:00Z</dcterms:modified>
  <dc:description>Working draft generated from the official DICE abstract template. Requires human review, cost validation, teaming, and compliance verification.</dc:description>
</cp:coreProperties>
</file>