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4D78"/>
          <w:sz w:val="44"/>
        </w:rPr>
        <w:t>HarborSentinel</w:t>
      </w:r>
    </w:p>
    <w:p>
      <w:pPr>
        <w:spacing w:after="80"/>
        <w:jc w:val="center"/>
      </w:pPr>
      <w:r>
        <w:rPr>
          <w:rFonts w:ascii="Calibri" w:hAnsi="Calibri"/>
          <w:b/>
          <w:i w:val="0"/>
          <w:color w:val="555555"/>
          <w:sz w:val="24"/>
        </w:rPr>
        <w:t>Anomalous Behavior Detection and Alerting for Congested Maritime Environments</w:t>
      </w:r>
    </w:p>
    <w:p>
      <w:pPr>
        <w:spacing w:after="200"/>
        <w:jc w:val="center"/>
      </w:pPr>
      <w:r>
        <w:rPr>
          <w:rFonts w:ascii="Calibri" w:hAnsi="Calibri"/>
          <w:b w:val="0"/>
          <w:i w:val="0"/>
          <w:color w:val="555555"/>
          <w:sz w:val="20"/>
        </w:rPr>
        <w:t>DON26BZ03-NV063 | Navy SBIR 2026 Release 3 Phase I | Volume 2 Technical Draft</w:t>
      </w:r>
    </w:p>
    <w:p>
      <w:pPr>
        <w:spacing w:after="200"/>
        <w:jc w:val="center"/>
      </w:pPr>
      <w:r>
        <w:rPr>
          <w:rFonts w:ascii="Calibri" w:hAnsi="Calibri"/>
          <w:b/>
          <w:i w:val="0"/>
          <w:color w:val="9B1C1C"/>
          <w:sz w:val="20"/>
        </w:rPr>
        <w:t>WORKING DRAFT - NOT APPROVED FOR SUBMISSION</w:t>
      </w:r>
    </w:p>
    <w:p>
      <w:pPr>
        <w:spacing w:after="120" w:line="300" w:lineRule="auto"/>
        <w:jc w:val="left"/>
      </w:pPr>
      <w:r>
        <w:rPr>
          <w:rFonts w:ascii="Calibri" w:hAnsi="Calibri"/>
          <w:b w:val="0"/>
          <w:i w:val="0"/>
          <w:color w:val="000000"/>
          <w:sz w:val="22"/>
        </w:rPr>
        <w:t>Topic: DON26BZ03-NV063, Anomalous Behavior Detection and Alerting for Congested Maritime Environments</w:t>
      </w:r>
    </w:p>
    <w:p>
      <w:pPr>
        <w:spacing w:after="120" w:line="300" w:lineRule="auto"/>
        <w:jc w:val="left"/>
      </w:pPr>
      <w:r>
        <w:rPr>
          <w:rFonts w:ascii="Calibri" w:hAnsi="Calibri"/>
          <w:b w:val="0"/>
          <w:i w:val="0"/>
          <w:color w:val="000000"/>
          <w:sz w:val="22"/>
        </w:rPr>
        <w:t>Program: Navy SBIR 2026 Release 3 Phase I</w:t>
      </w:r>
    </w:p>
    <w:p>
      <w:pPr>
        <w:spacing w:after="120" w:line="300" w:lineRule="auto"/>
        <w:jc w:val="left"/>
      </w:pPr>
      <w:r>
        <w:rPr>
          <w:rFonts w:ascii="Calibri" w:hAnsi="Calibri"/>
          <w:b w:val="0"/>
          <w:i w:val="0"/>
          <w:color w:val="000000"/>
          <w:sz w:val="22"/>
        </w:rPr>
        <w:t>Status: Working draft for DSIP/Navy Volume 2 conversion; not approved for submission.</w:t>
      </w:r>
    </w:p>
    <w:p>
      <w:pPr>
        <w:spacing w:after="120" w:line="300" w:lineRule="auto"/>
        <w:jc w:val="left"/>
      </w:pPr>
      <w:r>
        <w:rPr>
          <w:rFonts w:ascii="Calibri" w:hAnsi="Calibri"/>
          <w:b w:val="0"/>
          <w:i w:val="0"/>
          <w:color w:val="000000"/>
          <w:sz w:val="22"/>
        </w:rPr>
        <w:t>Format target: single-column Phase I Technical Volume, 8.5 x 11 inch pages, 1-inch margins, no font smaller than 10 point, not to exceed 10 pages. Base and Option work are both included here. This Markdown file is a content source, not the final uploaded attachment.</w:t>
      </w:r>
    </w:p>
    <w:p>
      <w:pPr>
        <w:pStyle w:val="Heading2"/>
      </w:pPr>
      <w:r>
        <w:rPr>
          <w:rFonts w:ascii="Calibri" w:hAnsi="Calibri"/>
          <w:b/>
          <w:i w:val="0"/>
          <w:color w:val="2E74B5"/>
          <w:sz w:val="26"/>
        </w:rPr>
        <w:t>1. Objective and Navy Need</w:t>
      </w:r>
    </w:p>
    <w:p>
      <w:pPr>
        <w:spacing w:after="120" w:line="300" w:lineRule="auto"/>
        <w:jc w:val="left"/>
      </w:pPr>
      <w:r>
        <w:rPr>
          <w:rFonts w:ascii="Calibri" w:hAnsi="Calibri"/>
          <w:b w:val="0"/>
          <w:i w:val="0"/>
          <w:color w:val="000000"/>
          <w:sz w:val="22"/>
        </w:rPr>
        <w:t>HarborSentinel will develop and assess an explainable, low-storage pattern-of-life engine for identifying anomalous surface and air contacts in congested maritime environments. The objective is to help Ship Self-Defense System (SSDS) watch teams review all relevant traffic in a 360-degree area around a notional ship while preserving source identity, machine reasoning, confidence, and operator-review context.</w:t>
      </w:r>
    </w:p>
    <w:p>
      <w:pPr>
        <w:spacing w:after="120" w:line="300" w:lineRule="auto"/>
        <w:jc w:val="left"/>
      </w:pPr>
      <w:r>
        <w:rPr>
          <w:rFonts w:ascii="Calibri" w:hAnsi="Calibri"/>
          <w:b w:val="0"/>
          <w:i w:val="0"/>
          <w:color w:val="000000"/>
          <w:sz w:val="22"/>
        </w:rPr>
        <w:t>The Navy problem is not just classification. A useful system must detect deviation, loitering, unusual kinematics, source loss, source conflict, and cooperative/non-cooperative inconsistency without relying on a massive region-specific pattern-of-life archive that becomes unusable when the ship changes operating areas. The Phase I goal is a feasible unclassified prototype, test harness, alert schema, and transition plan, not a completed SSDS integration.</w:t>
      </w:r>
    </w:p>
    <w:p>
      <w:pPr>
        <w:pStyle w:val="Heading2"/>
      </w:pPr>
      <w:r>
        <w:rPr>
          <w:rFonts w:ascii="Calibri" w:hAnsi="Calibri"/>
          <w:b/>
          <w:i w:val="0"/>
          <w:color w:val="2E74B5"/>
          <w:sz w:val="26"/>
        </w:rPr>
        <w:t>2. Technical Innovation</w:t>
      </w:r>
    </w:p>
    <w:p>
      <w:pPr>
        <w:spacing w:after="120" w:line="300" w:lineRule="auto"/>
        <w:jc w:val="left"/>
      </w:pPr>
      <w:r>
        <w:rPr>
          <w:rFonts w:ascii="Calibri" w:hAnsi="Calibri"/>
          <w:b w:val="0"/>
          <w:i w:val="0"/>
          <w:color w:val="000000"/>
          <w:sz w:val="22"/>
        </w:rPr>
        <w:t>HarborSentinel maintains compact multi-timescale state per track rather than retaining large historical databases. It normalizes AIS, ADS-B, notional radar, and composite-track observations into a source-aware track record, then tests route, kinematic, silence, and source-consistency hypotheses. Alerts are structured for operator review and include track identity, anomaly category, supporting observations, source freshness, machine confidence, uncertainty, and competing benign explanations.</w:t>
      </w:r>
    </w:p>
    <w:p>
      <w:pPr>
        <w:spacing w:after="120" w:line="300" w:lineRule="auto"/>
        <w:jc w:val="left"/>
      </w:pPr>
      <w:r>
        <w:rPr>
          <w:rFonts w:ascii="Calibri" w:hAnsi="Calibri"/>
          <w:b w:val="0"/>
          <w:i w:val="0"/>
          <w:color w:val="000000"/>
          <w:sz w:val="22"/>
        </w:rPr>
        <w:t>The innovation is the combination of:</w:t>
      </w:r>
    </w:p>
    <w:p>
      <w:pPr>
        <w:spacing w:after="80" w:line="290" w:lineRule="auto"/>
        <w:numPr>
          <w:ilvl w:val="0"/>
          <w:numId w:val="10"/>
        </w:numPr>
      </w:pPr>
      <w:r>
        <w:rPr>
          <w:rFonts w:ascii="Calibri" w:hAnsi="Calibri"/>
          <w:b w:val="0"/>
          <w:i w:val="0"/>
          <w:color w:val="000000"/>
          <w:sz w:val="22"/>
        </w:rPr>
        <w:t>bounded per-track and local-regime state for low-storage operation;</w:t>
      </w:r>
    </w:p>
    <w:p>
      <w:pPr>
        <w:spacing w:after="80" w:line="290" w:lineRule="auto"/>
        <w:numPr>
          <w:ilvl w:val="0"/>
          <w:numId w:val="10"/>
        </w:numPr>
      </w:pPr>
      <w:r>
        <w:rPr>
          <w:rFonts w:ascii="Calibri" w:hAnsi="Calibri"/>
          <w:b w:val="0"/>
          <w:i w:val="0"/>
          <w:color w:val="000000"/>
          <w:sz w:val="22"/>
        </w:rPr>
        <w:t>source-aware consistency checks across cooperative and radar-like inputs;</w:t>
      </w:r>
    </w:p>
    <w:p>
      <w:pPr>
        <w:spacing w:after="80" w:line="290" w:lineRule="auto"/>
        <w:numPr>
          <w:ilvl w:val="0"/>
          <w:numId w:val="10"/>
        </w:numPr>
      </w:pPr>
      <w:r>
        <w:rPr>
          <w:rFonts w:ascii="Calibri" w:hAnsi="Calibri"/>
          <w:b w:val="0"/>
          <w:i w:val="0"/>
          <w:color w:val="000000"/>
          <w:sz w:val="22"/>
        </w:rPr>
        <w:t>adaptive reference windows with poison-resistance and operator-pinned constraints;</w:t>
      </w:r>
    </w:p>
    <w:p>
      <w:pPr>
        <w:spacing w:after="80" w:line="290" w:lineRule="auto"/>
        <w:numPr>
          <w:ilvl w:val="0"/>
          <w:numId w:val="10"/>
        </w:numPr>
      </w:pPr>
      <w:r>
        <w:rPr>
          <w:rFonts w:ascii="Calibri" w:hAnsi="Calibri"/>
          <w:b w:val="0"/>
          <w:i w:val="0"/>
          <w:color w:val="000000"/>
          <w:sz w:val="22"/>
        </w:rPr>
        <w:t>source-integrity review that does not convert transmitter loss alone into a threat label; and</w:t>
      </w:r>
    </w:p>
    <w:p>
      <w:pPr>
        <w:spacing w:after="80" w:line="290" w:lineRule="auto"/>
        <w:numPr>
          <w:ilvl w:val="0"/>
          <w:numId w:val="10"/>
        </w:numPr>
      </w:pPr>
      <w:r>
        <w:rPr>
          <w:rFonts w:ascii="Calibri" w:hAnsi="Calibri"/>
          <w:b w:val="0"/>
          <w:i w:val="0"/>
          <w:color w:val="000000"/>
          <w:sz w:val="22"/>
        </w:rPr>
        <w:t>audit-ready explanation records that can be replayed from frozen inputs, thresholds, source metadata, and manifests.</w:t>
      </w:r>
    </w:p>
    <w:p>
      <w:pPr>
        <w:pStyle w:val="Heading2"/>
      </w:pPr>
      <w:r>
        <w:rPr>
          <w:rFonts w:ascii="Calibri" w:hAnsi="Calibri"/>
          <w:b/>
          <w:i w:val="0"/>
          <w:color w:val="2E74B5"/>
          <w:sz w:val="26"/>
        </w:rPr>
        <w:t>3. Technical Approach</w:t>
      </w:r>
    </w:p>
    <w:p>
      <w:pPr>
        <w:pStyle w:val="Heading3"/>
      </w:pPr>
      <w:r>
        <w:rPr>
          <w:rFonts w:ascii="Calibri" w:hAnsi="Calibri"/>
          <w:b/>
          <w:i w:val="0"/>
          <w:color w:val="1F4D78"/>
          <w:sz w:val="24"/>
        </w:rPr>
        <w:t>3.1 Inputs and Unclassified Boundary</w:t>
      </w:r>
    </w:p>
    <w:p>
      <w:pPr>
        <w:spacing w:after="120" w:line="300" w:lineRule="auto"/>
        <w:jc w:val="left"/>
      </w:pPr>
      <w:r>
        <w:rPr>
          <w:rFonts w:ascii="Calibri" w:hAnsi="Calibri"/>
          <w:b w:val="0"/>
          <w:i w:val="0"/>
          <w:color w:val="000000"/>
          <w:sz w:val="22"/>
        </w:rPr>
        <w:t>Phase I will define an unclassified input and output boundary for AIS observations, ADS-B observations, notional air and surface radar contacts, composite or correlated tracks, ship position, operating-area context, and operator-pinned watch conditions. Adapters will normalize time, location, speed, heading, altitude when applicable, identity fields, covariance or quality indicators, and source freshness. Original observation identifiers will be retained so each alert can be reconstructed.</w:t>
      </w:r>
    </w:p>
    <w:p>
      <w:pPr>
        <w:spacing w:after="120" w:line="300" w:lineRule="auto"/>
        <w:jc w:val="left"/>
      </w:pPr>
      <w:r>
        <w:rPr>
          <w:rFonts w:ascii="Calibri" w:hAnsi="Calibri"/>
          <w:b w:val="0"/>
          <w:i w:val="0"/>
          <w:color w:val="000000"/>
          <w:sz w:val="22"/>
        </w:rPr>
        <w:t>No current draft claims access to Navy radar, classified sensor data, SSDS interfaces, operational harbor feeds, or government-furnished data. Those items are Phase II or government-authorized evaluation paths.</w:t>
      </w:r>
    </w:p>
    <w:p>
      <w:pPr>
        <w:pStyle w:val="Heading3"/>
      </w:pPr>
      <w:r>
        <w:rPr>
          <w:rFonts w:ascii="Calibri" w:hAnsi="Calibri"/>
          <w:b/>
          <w:i w:val="0"/>
          <w:color w:val="1F4D78"/>
          <w:sz w:val="24"/>
        </w:rPr>
        <w:t>3.2 Compact Pattern-of-Life State</w:t>
      </w:r>
    </w:p>
    <w:p>
      <w:pPr>
        <w:spacing w:after="120" w:line="300" w:lineRule="auto"/>
        <w:jc w:val="left"/>
      </w:pPr>
      <w:r>
        <w:rPr>
          <w:rFonts w:ascii="Calibri" w:hAnsi="Calibri"/>
          <w:b w:val="0"/>
          <w:i w:val="0"/>
          <w:color w:val="000000"/>
          <w:sz w:val="22"/>
        </w:rPr>
        <w:t>For each track, the prototype will maintain bounded statistics at multiple time scales: corridor deviation, speed, acceleration, turn, climb/descent, stop/loiter/orbit behavior, periodicity, source availability, cooperative versus radar-like consistency, neighborhood density, local traffic regime, and confidence calibration. Fast references detect abrupt changes while slower references resist normalization of persistent threats.</w:t>
      </w:r>
    </w:p>
    <w:p>
      <w:pPr>
        <w:pStyle w:val="Heading3"/>
      </w:pPr>
      <w:r>
        <w:rPr>
          <w:rFonts w:ascii="Calibri" w:hAnsi="Calibri"/>
          <w:b/>
          <w:i w:val="0"/>
          <w:color w:val="1F4D78"/>
          <w:sz w:val="24"/>
        </w:rPr>
        <w:t>3.3 Detection, Fusion, and Alerting</w:t>
      </w:r>
    </w:p>
    <w:p>
      <w:pPr>
        <w:spacing w:after="120" w:line="300" w:lineRule="auto"/>
        <w:jc w:val="left"/>
      </w:pPr>
      <w:r>
        <w:rPr>
          <w:rFonts w:ascii="Calibri" w:hAnsi="Calibri"/>
          <w:b w:val="0"/>
          <w:i w:val="0"/>
          <w:color w:val="000000"/>
          <w:sz w:val="22"/>
        </w:rPr>
        <w:t>Candidate detectors include robust z-scores, two-sided cumulative-sum tests, route-distance measures, heading-change measures, source-disagreement tests, and density-adjusted local baselines. The fusion layer will retain disagreement instead of forcing premature consensus. A disabled AIS or ADS-B transmitter becomes source-integrity evidence for review; it is not by itself a behavior-based threat candidate.</w:t>
      </w:r>
    </w:p>
    <w:p>
      <w:pPr>
        <w:spacing w:after="120" w:line="300" w:lineRule="auto"/>
        <w:jc w:val="left"/>
      </w:pPr>
      <w:r>
        <w:rPr>
          <w:rFonts w:ascii="Calibri" w:hAnsi="Calibri"/>
          <w:b w:val="0"/>
          <w:i w:val="0"/>
          <w:color w:val="000000"/>
          <w:sz w:val="22"/>
        </w:rPr>
        <w:t>The prototype will emit a notional SSDS-facing alert object and operator display concept with track identity, severity, source status, machine reasoning, confidence, uncertainty, conflicting observations, acknowledgment, disposition, and linkage back to the current tactical picture. The Phase I deliverable is an interface-control concept, message schema, latency budget, and Phase II integration plan, not completed combat-system integration.</w:t>
      </w:r>
    </w:p>
    <w:p>
      <w:pPr>
        <w:pStyle w:val="Heading2"/>
      </w:pPr>
      <w:r>
        <w:rPr>
          <w:rFonts w:ascii="Calibri" w:hAnsi="Calibri"/>
          <w:b/>
          <w:i w:val="0"/>
          <w:color w:val="2E74B5"/>
          <w:sz w:val="26"/>
        </w:rPr>
        <w:t>4. Phase I Feasibility Evidence</w:t>
      </w:r>
    </w:p>
    <w:p>
      <w:pPr>
        <w:spacing w:after="120" w:line="300" w:lineRule="auto"/>
        <w:jc w:val="left"/>
      </w:pPr>
      <w:r>
        <w:rPr>
          <w:rFonts w:ascii="Calibri" w:hAnsi="Calibri"/>
          <w:b w:val="0"/>
          <w:i w:val="0"/>
          <w:color w:val="000000"/>
          <w:sz w:val="22"/>
        </w:rPr>
        <w:t>The current feasibility evidence is a deterministic synthetic software benchmark, not field validation. Frozen run `20260619T_NV063_V6_SOURCE_LANE_COVERAGE` selected threshold 10.0 on 20 development scenarios and held that threshold fixed across seven validation and stress conditions, with 30 scenarios per condition. Inputs modeled generated AIS-like surface cooperative beacons, ADS-B-like air cooperative beacons, and notional radar-like observations. Injected events were route deviation, loitering, speed burst, sharp turn, beacon silence, and beacon-spoofing-like inconsistency.</w:t>
      </w:r>
    </w:p>
    <w:p>
      <w:pPr>
        <w:spacing w:after="120" w:line="300" w:lineRule="auto"/>
        <w:jc w:val="left"/>
      </w:pPr>
      <w:r>
        <w:rPr>
          <w:rFonts w:ascii="Calibri" w:hAnsi="Calibri"/>
          <w:b w:val="0"/>
          <w:i w:val="0"/>
          <w:color w:val="000000"/>
          <w:sz w:val="22"/>
        </w:rPr>
        <w:t>The nominal 24-track condition produced precision 0.948, recall 0.957, and F1 0.952, compared with F1 0.566 for a simple fixed kinematic-rule comparator. All injected event classes were detected at least once, explanation coverage was 1.000, median detection delay was one simulation step, and nominal beacon-silence median delay was four simulation steps.</w:t>
      </w:r>
    </w:p>
    <w:p>
      <w:pPr>
        <w:spacing w:after="120" w:line="300" w:lineRule="auto"/>
        <w:jc w:val="left"/>
      </w:pPr>
      <w:r>
        <w:rPr>
          <w:rFonts w:ascii="Calibri" w:hAnsi="Calibri"/>
          <w:b w:val="0"/>
          <w:i w:val="0"/>
          <w:color w:val="000000"/>
          <w:sz w:val="22"/>
        </w:rPr>
        <w:t>Under combined 96-track congestion, 1.5x sensor noise, 2% benign point dropout, and 20% benign burst dropout, review-alert F1 was 0.927 with 144.9 review false alerts per 10,000 normal points. Separating source-integrity review from behavior-based threat candidates reduced the corresponding threat-candidate false-alert measure to 76.5 per 10,000 normal points.</w:t>
      </w:r>
    </w:p>
    <w:p>
      <w:pPr>
        <w:spacing w:after="120" w:line="300" w:lineRule="auto"/>
        <w:jc w:val="left"/>
      </w:pPr>
      <w:r>
        <w:rPr>
          <w:rFonts w:ascii="Calibri" w:hAnsi="Calibri"/>
          <w:b w:val="0"/>
          <w:i w:val="0"/>
          <w:color w:val="000000"/>
          <w:sz w:val="22"/>
        </w:rPr>
        <w:t>A severe stress condition at 192 tracks, 2.5x sensor noise, 5% point dropout, and 35% burst dropout produced review-alert precision 0.865, F1 0.888, and 191.9 review false alerts per 10,000 normal points. The behavior-based threat-candidate false-alert measure was 77.0 per 10,000 normal points because source failure remained separated from hostile-intent inference. Source-lane coverage was also reported: nominal AIS-like availability 0.960, ADS-B-like availability 1.000, and radar-like availability 1.000; severe-stress AIS-like availability 0.904 and ADS-B-like availability 0.945.</w:t>
      </w:r>
    </w:p>
    <w:p>
      <w:pPr>
        <w:spacing w:after="120" w:line="300" w:lineRule="auto"/>
        <w:jc w:val="left"/>
      </w:pPr>
      <w:r>
        <w:rPr>
          <w:rFonts w:ascii="Calibri" w:hAnsi="Calibri"/>
          <w:b w:val="0"/>
          <w:i w:val="0"/>
          <w:color w:val="000000"/>
          <w:sz w:val="22"/>
        </w:rPr>
        <w:t>The public AIS lane has also been exercised on a frozen NOAA AIS New Orleans / Mississippi River Delta development/validation split. The raw NOAA daily AIS ZIP was rehydrated into private local storage, hashed to the same SHA-256 value as the prior external-drive acquisition, and rebuilt into 50,000-row development and 50,000-row validation splits with the same deterministic sampling rule and the same split SHA-256 values. A current I/O preflight returned 2/2 split files readable with full-file SHA-256 matching the frozen split manifest. The controlled-injection benchmark built 48,624 development segments and 48,616 validation segments, then evaluated 20,000 injected validation segments across speed burst, position jump, heading snap, and consistency-gap families. The frozen development-threshold motion-consistency detector achieved 1.0000 recall on those controlled injections versus 0.25835 recall for a reported-speed-only baseline and 0.5068 for the best single-axis baseline (`speed_gap_consistency_p99`). This is detector-vs-baseline evidence on controlled kinematic perturbations, not real adversary labeling or a false-positive-rate estimate.</w:t>
      </w:r>
    </w:p>
    <w:p>
      <w:pPr>
        <w:spacing w:after="120" w:line="300" w:lineRule="auto"/>
        <w:jc w:val="left"/>
      </w:pPr>
      <w:r>
        <w:rPr>
          <w:rFonts w:ascii="Calibri" w:hAnsi="Calibri"/>
          <w:b w:val="0"/>
          <w:i w:val="0"/>
          <w:color w:val="000000"/>
          <w:sz w:val="22"/>
        </w:rPr>
        <w:t>Evidence boundary: these are generated software results. They do not establish operational harbor performance, SSDS integration, sensor-feed performance, adversarial security, cybersecurity, classified-environment performance, or field performance. Phase I must repeat evaluation with representative public and authorized government data, frozen partitions, density-aware calibration, degraded-source review or abstention, and independent review.</w:t>
      </w:r>
    </w:p>
    <w:p>
      <w:pPr>
        <w:pStyle w:val="Heading2"/>
      </w:pPr>
      <w:r>
        <w:rPr>
          <w:rFonts w:ascii="Calibri" w:hAnsi="Calibri"/>
          <w:b/>
          <w:i w:val="0"/>
          <w:color w:val="2E74B5"/>
          <w:sz w:val="26"/>
        </w:rPr>
        <w:t>5. Phase I Base Work Plan, Months 1-6</w:t>
      </w:r>
    </w:p>
    <w:p>
      <w:pPr>
        <w:spacing w:after="120" w:line="300" w:lineRule="auto"/>
        <w:jc w:val="left"/>
      </w:pPr>
      <w:r>
        <w:rPr>
          <w:rFonts w:ascii="Calibri" w:hAnsi="Calibri"/>
          <w:b w:val="0"/>
          <w:i w:val="0"/>
          <w:color w:val="000000"/>
          <w:sz w:val="22"/>
        </w:rPr>
        <w:t>Base budget target: not to exceed $200,000.</w:t>
      </w:r>
    </w:p>
    <w:p>
      <w:pPr>
        <w:spacing w:after="120" w:line="300" w:lineRule="auto"/>
        <w:jc w:val="left"/>
      </w:pPr>
      <w:r>
        <w:rPr>
          <w:rFonts w:ascii="Calibri" w:hAnsi="Calibri"/>
          <w:b w:val="0"/>
          <w:i w:val="0"/>
          <w:color w:val="000000"/>
          <w:sz w:val="22"/>
        </w:rPr>
        <w:t>Task 1, Requirements and evaluation plan: define the unclassified message boundary, anomaly taxonomy, baselines, source rights, metrics, acceptance thresholds, and failure criteria. Freeze development and validation partitions before representative-data scoring.</w:t>
      </w:r>
    </w:p>
    <w:p>
      <w:pPr>
        <w:spacing w:after="120" w:line="300" w:lineRule="auto"/>
        <w:jc w:val="left"/>
      </w:pPr>
      <w:r>
        <w:rPr>
          <w:rFonts w:ascii="Calibri" w:hAnsi="Calibri"/>
          <w:b w:val="0"/>
          <w:i w:val="0"/>
          <w:color w:val="000000"/>
          <w:sz w:val="22"/>
        </w:rPr>
        <w:t>Task 2, Input adapters and compact state: implement AIS, ADS-B, notional radar, and composite-track adapter interfaces. Implement bounded multi-timescale track state, source freshness, source-quality indicators, and replayable observation identifiers.</w:t>
      </w:r>
    </w:p>
    <w:p>
      <w:pPr>
        <w:spacing w:after="120" w:line="300" w:lineRule="auto"/>
        <w:jc w:val="left"/>
      </w:pPr>
      <w:r>
        <w:rPr>
          <w:rFonts w:ascii="Calibri" w:hAnsi="Calibri"/>
          <w:b w:val="0"/>
          <w:i w:val="0"/>
          <w:color w:val="000000"/>
          <w:sz w:val="22"/>
        </w:rPr>
        <w:t>Task 3, Detection and calibration: implement route, kinematic, loiter, silence, source-disagreement, and density/regime detectors. Calibrate confidence and test adaptive-baseline poisoning, delayed observations, identity conflict, benign transmitter dropout, and source-noise shift.</w:t>
      </w:r>
    </w:p>
    <w:p>
      <w:pPr>
        <w:spacing w:after="120" w:line="300" w:lineRule="auto"/>
        <w:jc w:val="left"/>
      </w:pPr>
      <w:r>
        <w:rPr>
          <w:rFonts w:ascii="Calibri" w:hAnsi="Calibri"/>
          <w:b w:val="0"/>
          <w:i w:val="0"/>
          <w:color w:val="000000"/>
          <w:sz w:val="22"/>
        </w:rPr>
        <w:t>Task 4, Operator alert prototype: build alert objects and a notional display concept showing track identity, source status, anomaly category, supporting observations, confidence, uncertainty, competing benign explanations, and recommended operator review action.</w:t>
      </w:r>
    </w:p>
    <w:p>
      <w:pPr>
        <w:spacing w:after="120" w:line="300" w:lineRule="auto"/>
        <w:jc w:val="left"/>
      </w:pPr>
      <w:r>
        <w:rPr>
          <w:rFonts w:ascii="Calibri" w:hAnsi="Calibri"/>
          <w:b w:val="0"/>
          <w:i w:val="0"/>
          <w:color w:val="000000"/>
          <w:sz w:val="22"/>
        </w:rPr>
        <w:t>Task 5, Feasibility evaluation: evaluate synthetic and representative data lanes using frozen thresholds and partitions. Report class-level precision/recall/F1, false alerts per track-hour and traffic-density regime, detection delay, calibration, source-integrity review volume, memory, runtime, and latency.</w:t>
      </w:r>
    </w:p>
    <w:p>
      <w:pPr>
        <w:spacing w:after="120" w:line="300" w:lineRule="auto"/>
        <w:jc w:val="left"/>
      </w:pPr>
      <w:r>
        <w:rPr>
          <w:rFonts w:ascii="Calibri" w:hAnsi="Calibri"/>
          <w:b w:val="0"/>
          <w:i w:val="0"/>
          <w:color w:val="000000"/>
          <w:sz w:val="22"/>
        </w:rPr>
        <w:t>Task 6, Demonstration and transition package: deliver prototype source, test harness, frozen manifests, failure register, interface-control concept, latency/data-flow assumptions, and Phase II SSDS integration roadmap.</w:t>
      </w:r>
    </w:p>
    <w:p>
      <w:pPr>
        <w:spacing w:after="120" w:line="300" w:lineRule="auto"/>
        <w:jc w:val="left"/>
      </w:pPr>
      <w:r>
        <w:rPr>
          <w:rFonts w:ascii="Calibri" w:hAnsi="Calibri"/>
          <w:b w:val="0"/>
          <w:i w:val="0"/>
          <w:color w:val="000000"/>
          <w:sz w:val="22"/>
        </w:rPr>
        <w:t>Milestones and success criteria: by Month 1, freeze the unclassified message schema, evaluation taxonomy, source-rights register, and baseline metrics; by Month 2, demonstrate replayable AIS/ADS-B/notional-radar adapters; by Month 3, demonstrate bounded per-track state and candidate detectors; by Month 4, emit explainable alert objects and a notional operator display; by Month 5, run frozen synthetic plus representative-data evaluations with unchanged thresholds; and by Month 6, deliver the prototype, manifest, failure register, and transition package. Phase I success means reproducible evidence for source-aware anomaly review under defined public/authorized data lanes, density regimes, noise/dropout conditions, false-alert limits, delay, calibration, memory, runtime, and latency. It does not mean SSDS integration, classified sensor validation, operational threat classification, or CMMC/ clearance readiness.</w:t>
      </w:r>
    </w:p>
    <w:p>
      <w:pPr>
        <w:pStyle w:val="Heading2"/>
      </w:pPr>
      <w:r>
        <w:rPr>
          <w:rFonts w:ascii="Calibri" w:hAnsi="Calibri"/>
          <w:b/>
          <w:i w:val="0"/>
          <w:color w:val="2E74B5"/>
          <w:sz w:val="26"/>
        </w:rPr>
        <w:t>6. Phase I Option Work Plan, Months 7-12</w:t>
      </w:r>
    </w:p>
    <w:p>
      <w:pPr>
        <w:spacing w:after="120" w:line="300" w:lineRule="auto"/>
        <w:jc w:val="left"/>
      </w:pPr>
      <w:r>
        <w:rPr>
          <w:rFonts w:ascii="Calibri" w:hAnsi="Calibri"/>
          <w:b w:val="0"/>
          <w:i w:val="0"/>
          <w:color w:val="000000"/>
          <w:sz w:val="22"/>
        </w:rPr>
        <w:t>Option budget target: not to exceed $115,000.</w:t>
      </w:r>
    </w:p>
    <w:p>
      <w:pPr>
        <w:spacing w:after="120" w:line="300" w:lineRule="auto"/>
        <w:jc w:val="left"/>
      </w:pPr>
      <w:r>
        <w:rPr>
          <w:rFonts w:ascii="Calibri" w:hAnsi="Calibri"/>
          <w:b w:val="0"/>
          <w:i w:val="0"/>
          <w:color w:val="000000"/>
          <w:sz w:val="22"/>
        </w:rPr>
        <w:t>The Option will add representative-data connectors, improve composite-track correlation, harden congestion scaling, refine source-disagreement handling, conduct independent reproducibility and red-team review, mature the SSDS-facing message/display specification, and prepare Phase II data, security, facility-clearance, and integration plans.</w:t>
      </w:r>
    </w:p>
    <w:p>
      <w:pPr>
        <w:pStyle w:val="Heading2"/>
      </w:pPr>
      <w:r>
        <w:rPr>
          <w:rFonts w:ascii="Calibri" w:hAnsi="Calibri"/>
          <w:b/>
          <w:i w:val="0"/>
          <w:color w:val="2E74B5"/>
          <w:sz w:val="26"/>
        </w:rPr>
        <w:t>7. Representative Data and Evaluation Plan</w:t>
      </w:r>
    </w:p>
    <w:p>
      <w:pPr>
        <w:spacing w:after="120" w:line="300" w:lineRule="auto"/>
        <w:jc w:val="left"/>
      </w:pPr>
      <w:r>
        <w:rPr>
          <w:rFonts w:ascii="Calibri" w:hAnsi="Calibri"/>
          <w:b w:val="0"/>
          <w:i w:val="0"/>
          <w:color w:val="000000"/>
          <w:sz w:val="22"/>
        </w:rPr>
        <w:t>The representative-data path will keep source lanes separate so public cooperative-source validation is not confused with SSDS radar or composite track validation.</w:t>
      </w:r>
    </w:p>
    <w:p>
      <w:pPr>
        <w:spacing w:after="120" w:line="300" w:lineRule="auto"/>
        <w:jc w:val="left"/>
      </w:pPr>
      <w:r>
        <w:rPr>
          <w:rFonts w:ascii="Calibri" w:hAnsi="Calibri"/>
          <w:b w:val="0"/>
          <w:i w:val="0"/>
          <w:color w:val="000000"/>
          <w:sz w:val="22"/>
        </w:rPr>
        <w:t>Lane A, public AIS: use NOAA/MarineCadastre AIS data where permitted to test surface density, corridors, route deviation, stop/loiter behavior, speed-change, and AIS source-integrity handling. AIS does not validate Navy organic tracks or SSDS displays.</w:t>
      </w:r>
    </w:p>
    <w:p>
      <w:pPr>
        <w:spacing w:after="120" w:line="300" w:lineRule="auto"/>
        <w:jc w:val="left"/>
      </w:pPr>
      <w:r>
        <w:rPr>
          <w:rFonts w:ascii="Calibri" w:hAnsi="Calibri"/>
          <w:b w:val="0"/>
          <w:i w:val="0"/>
          <w:color w:val="000000"/>
          <w:sz w:val="22"/>
        </w:rPr>
        <w:t>Lane B, public or licensed ADS-B: use OpenSky or equivalent authorized ADS-B access where terms permit to test air-track density, route/corridor behavior, altitude/climb/descent, orbit/holding patterns, speed change, and ADS-B source-integrity handling. ADS-B does not represent Navy air-search radar.</w:t>
      </w:r>
    </w:p>
    <w:p>
      <w:pPr>
        <w:spacing w:after="120" w:line="300" w:lineRule="auto"/>
        <w:jc w:val="left"/>
      </w:pPr>
      <w:r>
        <w:rPr>
          <w:rFonts w:ascii="Calibri" w:hAnsi="Calibri"/>
          <w:b w:val="0"/>
          <w:i w:val="0"/>
          <w:color w:val="000000"/>
          <w:sz w:val="22"/>
        </w:rPr>
        <w:t>Lane C, notional radar and composite tracks: use generated low-to-medium fidelity radar-like observations and later government-furnished assumptions or data if authorized. Performance claims will distinguish generated radar/composite feasibility from public AIS/ADS-B evaluation and from any future government-authorized operational evaluation.</w:t>
      </w:r>
    </w:p>
    <w:p>
      <w:pPr>
        <w:spacing w:after="120" w:line="300" w:lineRule="auto"/>
        <w:jc w:val="left"/>
      </w:pPr>
      <w:r>
        <w:rPr>
          <w:rFonts w:ascii="Calibri" w:hAnsi="Calibri"/>
          <w:b w:val="0"/>
          <w:i w:val="0"/>
          <w:color w:val="000000"/>
          <w:sz w:val="22"/>
        </w:rPr>
        <w:t>Acceptance gates for stronger claims: no operational claim without authorized operational data; no SSDS integration claim without an authorized integration environment; no adversarial robustness claim without an explicit threat model and independent red-team review; and no CMMC, facility-clearance, or personnel-clearance claim without current evidence.</w:t>
      </w:r>
    </w:p>
    <w:p>
      <w:pPr>
        <w:pStyle w:val="Heading2"/>
      </w:pPr>
      <w:r>
        <w:rPr>
          <w:rFonts w:ascii="Calibri" w:hAnsi="Calibri"/>
          <w:b/>
          <w:i w:val="0"/>
          <w:color w:val="2E74B5"/>
          <w:sz w:val="26"/>
        </w:rPr>
        <w:t>8. Risks and Mitigations</w:t>
      </w:r>
    </w:p>
    <w:p>
      <w:pPr>
        <w:spacing w:after="120" w:line="300" w:lineRule="auto"/>
        <w:jc w:val="left"/>
      </w:pPr>
      <w:r>
        <w:rPr>
          <w:rFonts w:ascii="Calibri" w:hAnsi="Calibri"/>
          <w:b w:val="0"/>
          <w:i w:val="0"/>
          <w:color w:val="000000"/>
          <w:sz w:val="22"/>
        </w:rPr>
        <w:t>Synthetic-to-operational gap: repeat evaluation on public AIS, authorized ADS-B, and government-furnished assumptions or data when available.</w:t>
      </w:r>
    </w:p>
    <w:p>
      <w:pPr>
        <w:spacing w:after="120" w:line="300" w:lineRule="auto"/>
        <w:jc w:val="left"/>
      </w:pPr>
      <w:r>
        <w:rPr>
          <w:rFonts w:ascii="Calibri" w:hAnsi="Calibri"/>
          <w:b w:val="0"/>
          <w:i w:val="0"/>
          <w:color w:val="000000"/>
          <w:sz w:val="22"/>
        </w:rPr>
        <w:t>Persistent-threat normalization: use multi-timescale references, change alarms, and operator-pinned constraints to prevent selected behavior from being normalized away.</w:t>
      </w:r>
    </w:p>
    <w:p>
      <w:pPr>
        <w:spacing w:after="120" w:line="300" w:lineRule="auto"/>
        <w:jc w:val="left"/>
      </w:pPr>
      <w:r>
        <w:rPr>
          <w:rFonts w:ascii="Calibri" w:hAnsi="Calibri"/>
          <w:b w:val="0"/>
          <w:i w:val="0"/>
          <w:color w:val="000000"/>
          <w:sz w:val="22"/>
        </w:rPr>
        <w:t>False alerts from source disagreement: estimate source quality and display the disagreement rather than collapsing it into a threat label.</w:t>
      </w:r>
    </w:p>
    <w:p>
      <w:pPr>
        <w:spacing w:after="120" w:line="300" w:lineRule="auto"/>
        <w:jc w:val="left"/>
      </w:pPr>
      <w:r>
        <w:rPr>
          <w:rFonts w:ascii="Calibri" w:hAnsi="Calibri"/>
          <w:b w:val="0"/>
          <w:i w:val="0"/>
          <w:color w:val="000000"/>
          <w:sz w:val="22"/>
        </w:rPr>
        <w:t>Noise-shift breakdown: extend the v6 source-quality gate with covariance-aware tracking, density/regime calibration, and explicit abstention or confidence reduction outside the validated envelope.</w:t>
      </w:r>
    </w:p>
    <w:p>
      <w:pPr>
        <w:spacing w:after="120" w:line="300" w:lineRule="auto"/>
        <w:jc w:val="left"/>
      </w:pPr>
      <w:r>
        <w:rPr>
          <w:rFonts w:ascii="Calibri" w:hAnsi="Calibri"/>
          <w:b w:val="0"/>
          <w:i w:val="0"/>
          <w:color w:val="000000"/>
          <w:sz w:val="22"/>
        </w:rPr>
        <w:t>Beacon-silence tradeoff: tune persistence thresholds by source reliability and operational context, and report class-specific delay rather than hiding it in an aggregate.</w:t>
      </w:r>
    </w:p>
    <w:p>
      <w:pPr>
        <w:spacing w:after="120" w:line="300" w:lineRule="auto"/>
        <w:jc w:val="left"/>
      </w:pPr>
      <w:r>
        <w:rPr>
          <w:rFonts w:ascii="Calibri" w:hAnsi="Calibri"/>
          <w:b w:val="0"/>
          <w:i w:val="0"/>
          <w:color w:val="000000"/>
          <w:sz w:val="22"/>
        </w:rPr>
        <w:t>Advanced-phase security: treat projected CMMC Level 2 (Self), SPRS, FCI/CUI, FOCI/export, U.S. ownership/operation, and Secret facility/personnel clearance planning as explicit transition gates. No current clearance or CMMC status is claimed here.</w:t>
      </w:r>
    </w:p>
    <w:p>
      <w:pPr>
        <w:pStyle w:val="Heading2"/>
      </w:pPr>
      <w:r>
        <w:rPr>
          <w:rFonts w:ascii="Calibri" w:hAnsi="Calibri"/>
          <w:b/>
          <w:i w:val="0"/>
          <w:color w:val="2E74B5"/>
          <w:sz w:val="26"/>
        </w:rPr>
        <w:t>9. Transition and Commercialization</w:t>
      </w:r>
    </w:p>
    <w:p>
      <w:pPr>
        <w:spacing w:after="120" w:line="300" w:lineRule="auto"/>
        <w:jc w:val="left"/>
      </w:pPr>
      <w:r>
        <w:rPr>
          <w:rFonts w:ascii="Calibri" w:hAnsi="Calibri"/>
          <w:b w:val="0"/>
          <w:i w:val="0"/>
          <w:color w:val="000000"/>
          <w:sz w:val="22"/>
        </w:rPr>
        <w:t>The Navy transition path is an SSDS-compatible analysis service and operator alert interface evaluated first with unclassified representative data, then with authorized government data and integration environments. Phase I will produce the interface-control concept, alert schema, evaluation evidence, and security transition plan needed for Navy review.</w:t>
      </w:r>
    </w:p>
    <w:p>
      <w:pPr>
        <w:spacing w:after="120" w:line="300" w:lineRule="auto"/>
        <w:jc w:val="left"/>
      </w:pPr>
      <w:r>
        <w:rPr>
          <w:rFonts w:ascii="Calibri" w:hAnsi="Calibri"/>
          <w:b w:val="0"/>
          <w:i w:val="0"/>
          <w:color w:val="000000"/>
          <w:sz w:val="22"/>
        </w:rPr>
        <w:t>Commercial adjacencies include port security, fleet operations, fisheries enforcement, maritime insurance, and critical-infrastructure monitoring. These markets need explainable, low-storage anomaly review in congested traffic, but the Phase I plan remains driven by the Navy topic requirements.</w:t>
      </w:r>
    </w:p>
    <w:p>
      <w:pPr>
        <w:pStyle w:val="Heading2"/>
      </w:pPr>
      <w:r>
        <w:rPr>
          <w:rFonts w:ascii="Calibri" w:hAnsi="Calibri"/>
          <w:b/>
          <w:i w:val="0"/>
          <w:color w:val="2E74B5"/>
          <w:sz w:val="26"/>
        </w:rPr>
        <w:t>10. Deliverables</w:t>
      </w:r>
    </w:p>
    <w:p>
      <w:pPr>
        <w:spacing w:after="80" w:line="290" w:lineRule="auto"/>
        <w:numPr>
          <w:ilvl w:val="0"/>
          <w:numId w:val="10"/>
        </w:numPr>
      </w:pPr>
      <w:r>
        <w:rPr>
          <w:rFonts w:ascii="Calibri" w:hAnsi="Calibri"/>
          <w:b w:val="0"/>
          <w:i w:val="0"/>
          <w:color w:val="000000"/>
          <w:sz w:val="22"/>
        </w:rPr>
        <w:t>Unclassified HarborSentinel prototype and source.</w:t>
      </w:r>
    </w:p>
    <w:p>
      <w:pPr>
        <w:spacing w:after="80" w:line="290" w:lineRule="auto"/>
        <w:numPr>
          <w:ilvl w:val="0"/>
          <w:numId w:val="10"/>
        </w:numPr>
      </w:pPr>
      <w:r>
        <w:rPr>
          <w:rFonts w:ascii="Calibri" w:hAnsi="Calibri"/>
          <w:b w:val="0"/>
          <w:i w:val="0"/>
          <w:color w:val="000000"/>
          <w:sz w:val="22"/>
        </w:rPr>
        <w:t>AIS/ADS-B/notional-radar adapter specification.</w:t>
      </w:r>
    </w:p>
    <w:p>
      <w:pPr>
        <w:spacing w:after="80" w:line="290" w:lineRule="auto"/>
        <w:numPr>
          <w:ilvl w:val="0"/>
          <w:numId w:val="10"/>
        </w:numPr>
      </w:pPr>
      <w:r>
        <w:rPr>
          <w:rFonts w:ascii="Calibri" w:hAnsi="Calibri"/>
          <w:b w:val="0"/>
          <w:i w:val="0"/>
          <w:color w:val="000000"/>
          <w:sz w:val="22"/>
        </w:rPr>
        <w:t>Compact pattern-of-life state and detection library.</w:t>
      </w:r>
    </w:p>
    <w:p>
      <w:pPr>
        <w:spacing w:after="80" w:line="290" w:lineRule="auto"/>
        <w:numPr>
          <w:ilvl w:val="0"/>
          <w:numId w:val="10"/>
        </w:numPr>
      </w:pPr>
      <w:r>
        <w:rPr>
          <w:rFonts w:ascii="Calibri" w:hAnsi="Calibri"/>
          <w:b w:val="0"/>
          <w:i w:val="0"/>
          <w:color w:val="000000"/>
          <w:sz w:val="22"/>
        </w:rPr>
        <w:t>Operator alert schema and display concept.</w:t>
      </w:r>
    </w:p>
    <w:p>
      <w:pPr>
        <w:spacing w:after="80" w:line="290" w:lineRule="auto"/>
        <w:numPr>
          <w:ilvl w:val="0"/>
          <w:numId w:val="10"/>
        </w:numPr>
      </w:pPr>
      <w:r>
        <w:rPr>
          <w:rFonts w:ascii="Calibri" w:hAnsi="Calibri"/>
          <w:b w:val="0"/>
          <w:i w:val="0"/>
          <w:color w:val="000000"/>
          <w:sz w:val="22"/>
        </w:rPr>
        <w:t>Frozen evaluation package with SHA-256 manifest.</w:t>
      </w:r>
    </w:p>
    <w:p>
      <w:pPr>
        <w:spacing w:after="80" w:line="290" w:lineRule="auto"/>
        <w:numPr>
          <w:ilvl w:val="0"/>
          <w:numId w:val="10"/>
        </w:numPr>
      </w:pPr>
      <w:r>
        <w:rPr>
          <w:rFonts w:ascii="Calibri" w:hAnsi="Calibri"/>
          <w:b w:val="0"/>
          <w:i w:val="0"/>
          <w:color w:val="000000"/>
          <w:sz w:val="22"/>
        </w:rPr>
        <w:t>Failure register and claim-boundary statement.</w:t>
      </w:r>
    </w:p>
    <w:p>
      <w:pPr>
        <w:spacing w:after="80" w:line="290" w:lineRule="auto"/>
        <w:numPr>
          <w:ilvl w:val="0"/>
          <w:numId w:val="10"/>
        </w:numPr>
      </w:pPr>
      <w:r>
        <w:rPr>
          <w:rFonts w:ascii="Calibri" w:hAnsi="Calibri"/>
          <w:b w:val="0"/>
          <w:i w:val="0"/>
          <w:color w:val="000000"/>
          <w:sz w:val="22"/>
        </w:rPr>
        <w:t>Representative-data source registry and partition plan.</w:t>
      </w:r>
    </w:p>
    <w:p>
      <w:pPr>
        <w:spacing w:after="80" w:line="290" w:lineRule="auto"/>
        <w:numPr>
          <w:ilvl w:val="0"/>
          <w:numId w:val="10"/>
        </w:numPr>
      </w:pPr>
      <w:r>
        <w:rPr>
          <w:rFonts w:ascii="Calibri" w:hAnsi="Calibri"/>
          <w:b w:val="0"/>
          <w:i w:val="0"/>
          <w:color w:val="000000"/>
          <w:sz w:val="22"/>
        </w:rPr>
        <w:t>SSDS integration concept and Phase II security/clearance roadmap.</w:t>
      </w:r>
    </w:p>
    <w:p>
      <w:pPr>
        <w:pStyle w:val="Heading2"/>
      </w:pPr>
      <w:r>
        <w:rPr>
          <w:rFonts w:ascii="Calibri" w:hAnsi="Calibri"/>
          <w:b/>
          <w:i w:val="0"/>
          <w:color w:val="2E74B5"/>
          <w:sz w:val="26"/>
        </w:rPr>
        <w:t>11. Submission Boundary</w:t>
      </w:r>
    </w:p>
    <w:p>
      <w:pPr>
        <w:spacing w:after="120" w:line="300" w:lineRule="auto"/>
        <w:jc w:val="left"/>
      </w:pPr>
      <w:r>
        <w:rPr>
          <w:rFonts w:ascii="Calibri" w:hAnsi="Calibri"/>
          <w:b w:val="0"/>
          <w:i w:val="0"/>
          <w:color w:val="000000"/>
          <w:sz w:val="22"/>
        </w:rPr>
        <w:t>Do not upload this draft until DSIP account authority, SAM.gov status, DoD representations, cost basis, export/FOCI/cybersecurity checks, CMMC/SPRS status, clearance-transition plan, final template formatting, and human approval are complete.</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7"/>
      </w:rPr>
      <w:t>WORKING DRAFT - NOT APPROVED FOR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55555"/>
        <w:sz w:val="17"/>
      </w:rPr>
      <w:t>NV063 HarborSentinel | Volume 2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8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HarborSentinel Volume 2 Technical Draft</dc:title>
  <dc:subject>DON26BZ03-NV063 Navy SBIR Phase I</dc:subject>
  <dc:creator>Robert Ashworth</dc:creator>
  <cp:keywords/>
  <dc:description>Working draft for DSIP/Navy Volume 2 conversion. Not approved for submission.</dc:description>
  <cp:lastModifiedBy/>
  <cp:revision>1</cp:revision>
  <dcterms:created xsi:type="dcterms:W3CDTF">2013-12-23T23:15:00Z</dcterms:created>
  <dcterms:modified xsi:type="dcterms:W3CDTF">2013-12-23T23:15:00Z</dcterms:modified>
  <cp:category/>
</cp:coreProperties>
</file>