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RLHF Training / Modeling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Text-based Architectural Flow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Comprehensive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Data Preparation                                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- Tokenization &amp; Padding                        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- Truncation for Consistency                    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- Dataset Construction                          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LoRA Rank Determination                     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- SVD on Hidden State Representations        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- Compute Effective Rank                      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- Select Adaptive Low-Rank Matrices             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Model Preparation                               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- Configure LoRA Adapter                      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- Enable PEFT Model Wrapping                    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- Adjust Model Configuration for Compatibility  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- Handle JSON Serialization Issues              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Training Phase                                  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- Define Training Arguments                     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- Select Reward Model or Traditional Model      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- Initialize Trainer (RewardTrainer / Trainer) 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- Fine-tune with LoRA                           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Reinforcement Learning Integration              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- Train PPO-Based Reward Model                  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- Fine-tune Using Reward Feedback               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- Optimize Policy Learning                      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Model Upload &amp; Deployment                       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- Save Model Locally                            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- Upload Model to Hugging Face Hub              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- Ensure Compatibility for Future Inference     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miqypmep1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Detailed Component Breakdown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uesq20xae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Preparation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Tokenizer Function</w:t>
      </w:r>
      <w:r w:rsidDel="00000000" w:rsidR="00000000" w:rsidRPr="00000000">
        <w:rPr>
          <w:rtl w:val="0"/>
        </w:rPr>
        <w:t xml:space="preserve"> processes dataset entries for </w:t>
      </w:r>
      <w:r w:rsidDel="00000000" w:rsidR="00000000" w:rsidRPr="00000000">
        <w:rPr>
          <w:b w:val="1"/>
          <w:rtl w:val="0"/>
        </w:rPr>
        <w:t xml:space="preserve">input_ids, attention_mask, chosen/rejected responses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b w:val="1"/>
          <w:rtl w:val="0"/>
        </w:rPr>
        <w:t xml:space="preserve">padding &amp; truncation</w:t>
      </w:r>
      <w:r w:rsidDel="00000000" w:rsidR="00000000" w:rsidRPr="00000000">
        <w:rPr>
          <w:rtl w:val="0"/>
        </w:rPr>
        <w:t xml:space="preserve"> to ensure </w:t>
      </w:r>
      <w:r w:rsidDel="00000000" w:rsidR="00000000" w:rsidRPr="00000000">
        <w:rPr>
          <w:b w:val="1"/>
          <w:rtl w:val="0"/>
        </w:rPr>
        <w:t xml:space="preserve">uniform sequence lengths</w:t>
      </w:r>
      <w:r w:rsidDel="00000000" w:rsidR="00000000" w:rsidRPr="00000000">
        <w:rPr>
          <w:rtl w:val="0"/>
        </w:rPr>
        <w:t xml:space="preserve"> (mitigates memory &amp; indexing issues).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Constructs tokenized dataset for structured processing.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tg1k4gi7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LoRA Rank Determination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Singular Value Decomposition (SVD)</w:t>
      </w:r>
      <w:r w:rsidDel="00000000" w:rsidR="00000000" w:rsidRPr="00000000">
        <w:rPr>
          <w:rtl w:val="0"/>
        </w:rPr>
        <w:t xml:space="preserve"> on hidden state matrices to compute </w:t>
      </w:r>
      <w:r w:rsidDel="00000000" w:rsidR="00000000" w:rsidRPr="00000000">
        <w:rPr>
          <w:b w:val="1"/>
          <w:rtl w:val="0"/>
        </w:rPr>
        <w:t xml:space="preserve">LoRA rank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Determines the optimal </w:t>
      </w:r>
      <w:r w:rsidDel="00000000" w:rsidR="00000000" w:rsidRPr="00000000">
        <w:rPr>
          <w:b w:val="1"/>
          <w:rtl w:val="0"/>
        </w:rPr>
        <w:t xml:space="preserve">low-rank representation</w:t>
      </w:r>
      <w:r w:rsidDel="00000000" w:rsidR="00000000" w:rsidRPr="00000000">
        <w:rPr>
          <w:rtl w:val="0"/>
        </w:rPr>
        <w:t xml:space="preserve">, adjusting model compression efficiently.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Computes energy variance and selects the smallest </w:t>
      </w:r>
      <w:r w:rsidDel="00000000" w:rsidR="00000000" w:rsidRPr="00000000">
        <w:rPr>
          <w:b w:val="1"/>
          <w:rtl w:val="0"/>
        </w:rPr>
        <w:t xml:space="preserve">number of singular values</w:t>
      </w:r>
      <w:r w:rsidDel="00000000" w:rsidR="00000000" w:rsidRPr="00000000">
        <w:rPr>
          <w:rtl w:val="0"/>
        </w:rPr>
        <w:t xml:space="preserve"> exceeding a predefined variance threshold.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i0vk1xiyw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Model Preparation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Wraps the base model with </w:t>
      </w:r>
      <w:r w:rsidDel="00000000" w:rsidR="00000000" w:rsidRPr="00000000">
        <w:rPr>
          <w:b w:val="1"/>
          <w:rtl w:val="0"/>
        </w:rPr>
        <w:t xml:space="preserve">PEFT LoRA configuration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get_peft_model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serialization issues</w:t>
      </w:r>
      <w:r w:rsidDel="00000000" w:rsidR="00000000" w:rsidRPr="00000000">
        <w:rPr>
          <w:rtl w:val="0"/>
        </w:rPr>
        <w:t xml:space="preserve">, preventing JSON encoding errors.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Adjusts model configuration</w:t>
      </w:r>
      <w:r w:rsidDel="00000000" w:rsidR="00000000" w:rsidRPr="00000000">
        <w:rPr>
          <w:rtl w:val="0"/>
        </w:rPr>
        <w:t xml:space="preserve"> to ensure compatibility with fine-tuning.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pfsimwof7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Training Phase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Defines training arguments</w:t>
      </w:r>
      <w:r w:rsidDel="00000000" w:rsidR="00000000" w:rsidRPr="00000000">
        <w:rPr>
          <w:rtl w:val="0"/>
        </w:rPr>
        <w:t xml:space="preserve"> (epochs, batch size, warmup steps, weight decay).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</w:t>
      </w:r>
      <w:r w:rsidDel="00000000" w:rsidR="00000000" w:rsidRPr="00000000">
        <w:rPr>
          <w:b w:val="1"/>
          <w:rtl w:val="0"/>
        </w:rPr>
        <w:t xml:space="preserve">RewardTrainer for reinforcement learning models</w:t>
      </w:r>
      <w:r w:rsidDel="00000000" w:rsidR="00000000" w:rsidRPr="00000000">
        <w:rPr>
          <w:rtl w:val="0"/>
        </w:rPr>
        <w:t xml:space="preserve"> or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Trainer</w:t>
      </w:r>
      <w:r w:rsidDel="00000000" w:rsidR="00000000" w:rsidRPr="00000000">
        <w:rPr>
          <w:rtl w:val="0"/>
        </w:rPr>
        <w:t xml:space="preserve"> for traditional fine-tuning.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Executes </w:t>
      </w:r>
      <w:r w:rsidDel="00000000" w:rsidR="00000000" w:rsidRPr="00000000">
        <w:rPr>
          <w:b w:val="1"/>
          <w:rtl w:val="0"/>
        </w:rPr>
        <w:t xml:space="preserve">fine-tuning based on LoRA-enhanced model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tftd40pgn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Reinforcement Learning Integration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</w:t>
      </w:r>
      <w:r w:rsidDel="00000000" w:rsidR="00000000" w:rsidRPr="00000000">
        <w:rPr>
          <w:b w:val="1"/>
          <w:rtl w:val="0"/>
        </w:rPr>
        <w:t xml:space="preserve">PPOTrainer</w:t>
      </w:r>
      <w:r w:rsidDel="00000000" w:rsidR="00000000" w:rsidRPr="00000000">
        <w:rPr>
          <w:rtl w:val="0"/>
        </w:rPr>
        <w:t xml:space="preserve"> for reinforcement learning.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reward-based feedback</w:t>
      </w:r>
      <w:r w:rsidDel="00000000" w:rsidR="00000000" w:rsidRPr="00000000">
        <w:rPr>
          <w:rtl w:val="0"/>
        </w:rPr>
        <w:t xml:space="preserve"> during fine-tuning to optimize model behavior.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policy learning by adjusting reward configurations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414atm4g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Usage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Modeling import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odeling = Modeling(&lt;training data file location&gt;, True|False)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data is a list of lists where each inner list consists of 3 elements.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prompt, e.g. “Tell me about machine learning.”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chosen response for the input prompt.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rejected response for the input prompt.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/>
      </w:pPr>
      <w:bookmarkStart w:colFirst="0" w:colLast="0" w:name="_76w839ze748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Example Training Data (stored in a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"A Study of Atezolizumab (MPDL3280A) Compared With a Platinum Agent (Cisplatin or Carboplatin) + (Pemetrexed or Gemcitabine) in Participants With Stage IV Non-Squamous or Squamous NSCLC [IMpower110]",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"Research on Atezolizumab (MPDL3280A) Versus Platinum Agents (Cisplatin or Carboplatin) + (Pemetrexed or Gemcitabine) in Stage IV Non-Squamous or Squamous NSCLC Patients [IMpower110]",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"Comparison of Atezolizumab (MPDL3280A) and Platinum-Based Chemotherapy (Cisplatin or Carboplatin) + (Pemetrexed or Gemcitabine) in Stage IV Non-Squamous or Squamous NSCLC [IMpower110]"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"A Study of Atezolizumab (MPDL3280A) Versus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"Research Comparing Atezolizumab (MPDL3280A) and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"Study on Atezolizumab (MPDL3280A) Compared to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"Atezolizumab (MPDL3280A) Study Compared With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"Study of Atezolizumab (MPDL3280A) Versus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"Research on Atezolizumab (MPDL3280A) Compared to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"Comparison Study of Atezolizumab (MPDL3280A) and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"Atezolizumab (MPDL3280A) Versus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"Study Comparing Atezolizumab (MPDL3280A) and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"Atezolizumab (MPDL3280A) Study Versus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"Research Comparing Atezolizumab (MPDL3280A) and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"Study of Atezolizumab (MPDL3280A) Compared With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"A Study of Atezolizumab (MPDL3280A) Versus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"Research on Atezolizumab (MPDL3280A) Compared to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"Comparison of Atezolizumab (MPDL3280A) and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"Atezolizumab (MPDL3280A) Study Compared With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"Study of Atezolizumab (MPDL3280A) Versus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"Research on Atezolizumab (MPDL3280A) Compared to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"Comparison Study of Atezolizumab (MPDL3280A) and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"Atezolizumab (MPDL3280A) Versus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"Study Comparing Atezolizumab (MPDL3280A) and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"Atezolizumab (MPDL3280A) Study Versus Platinum Agents (Cisplatin or Carboplatin) + (Pemetrexed or Gemcitabine) in Stage IV Non-Squamous or Squamous NSCLC [IMpower110]",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"Research Comparing Atezolizumab (MPDL3280A) and Platinum-Based Chemotherapy (Cisplatin or Carboplatin) + (Pemetrexed or Gemcitabine) in Stage IV Non-Squamous or Squamous NSCLC [IMpower110]",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"Study of Atezolizumab (MPDL3280A) Compared With Platinum Agents (Cisplatin or Carboplatin) + (Pemetrexed or Gemcitabine) in Stage IV Non-Squamous or Squamous NSCLC [IMpower110]"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