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qc0g13qq79o" w:id="0"/>
      <w:bookmarkEnd w:id="0"/>
      <w:r w:rsidDel="00000000" w:rsidR="00000000" w:rsidRPr="00000000">
        <w:rPr>
          <w:sz w:val="20"/>
          <w:szCs w:val="20"/>
          <w:rtl w:val="0"/>
        </w:rPr>
        <w:t xml:space="preserve">Emilio Cocco, Robert Bartłomiejski,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pStyle w:val="Heading3"/>
        <w:jc w:val="center"/>
        <w:rPr/>
      </w:pPr>
      <w:bookmarkStart w:colFirst="0" w:colLast="0" w:name="_7b9h20q4vxw1" w:id="1"/>
      <w:bookmarkEnd w:id="1"/>
      <w:r w:rsidDel="00000000" w:rsidR="00000000" w:rsidRPr="00000000">
        <w:rPr>
          <w:rtl w:val="0"/>
        </w:rPr>
        <w:t xml:space="preserve">Performativity of the World Ocean: Reframing the Theory of Marinization in the Age of the Oceanic Turn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Abstract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This paper advances a maritime-sociological contribution to the oceanic turn by conceptualizing the "One Ocean" as a field of multi-performativity, operating through analytically distinct but relational ontological modes: the marine- (biophysical, spatial), the human- (anthropogenic, territorial), and the oceanic (One Ocean, World Ocean, Blue Planetary). Through currents, tides, salinity gradients, nutrient cycles, storms, and metabolic exchanges, the World Ocean sets the biophysical circumstances of life, dictating the conditions for navigation, settlement, and production. These undirected material performances do not require purposeful agency. Although the performative act must be mediated and embodied by a mediator, who translates or is translated by another performing agent. This chain of oceanic flows interconnects humans with their natural environment  calling to subordinate (adaptability, resilience, or exposing our vulnerability, compelling adaptive responses rather than mere compliance).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In this marine-centered mode (marinization), human adaptation is fundamentally self-subordinating to the power of oceanic forces, grounded in the recognition of the sea as a significant non-human other whose influence precedes and exceeds human enactment. In contrast, the human-dominant mode refers to maritimization: the purposive territorialization, abstraction, and instrumental ordering of marine spaces through law, technology, quotas, and growth-oriented imaginaries. Here, societies acculturate the sea through narratives of sovereignty, security, or Indigenous cosmologies—responding to marine performativity not by co-creation, but by the symbolic and institutional mediation of human affairs. This generates a sense of relative control while paradoxically intensifying dependency on the very fluid dynamics it seeks to stabilize.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By distinguishing these above, we reframe the theory of marinisation coined by Ludwik Janiszewski. We refer to the classic theory of marinization to re-conceptualise the process of  maritime social reality in making. In short, the marinization is driven  by two factors: marine (geographical habitat terms and biodiversity conditions set by interference from the sea) perspective) and human (socio-cultural representations of human acculturation to marine environmental perspective). because of blue transition, posthuman, hydrosocial and oceanic turns. The blue planetary and oceanic all-mination (anthrosphere, biosphere, hydrosphere, oceanosphere, atmosphere and lithosphere) have coerced all subfields and subdisciplines to perform blue inclusive collaboration </w:t>
      </w:r>
      <w:r w:rsidDel="00000000" w:rsidR="00000000" w:rsidRPr="00000000">
        <w:rPr>
          <w:rtl w:val="0"/>
        </w:rPr>
        <w:t xml:space="preserve">partnerships. By becoming suspended between blue extremes of oceanic turn (universality, transcorporeality, equity and inclusivity) the in-between fluidity and transformability worked as disciplinary solvent. It was enacted in  deforming the originally established disciplinary definitions. The undeniable success of oceanic turn was achieved, which also has had unintended effect in all fluids merging into one blue vessel in the form of either the World Ocean, transcorporeality, or the fluid circulation of matter within our bodies.  </w:t>
      </w:r>
      <w:r w:rsidDel="00000000" w:rsidR="00000000" w:rsidRPr="00000000">
        <w:rPr>
          <w:rtl w:val="0"/>
        </w:rPr>
        <w:t xml:space="preserve">We advocate for disciplinary and transdisciplinary complementary, but not unification. On the basis of secondary data analysis we will justify our standpoint: there is one ocean, but plurality of water. A sustainable </w:t>
      </w:r>
      <w:r w:rsidDel="00000000" w:rsidR="00000000" w:rsidRPr="00000000">
        <w:rPr>
          <w:rtl w:val="0"/>
        </w:rPr>
        <w:t xml:space="preserve">Oceanic Turn </w:t>
      </w:r>
      <w:r w:rsidDel="00000000" w:rsidR="00000000" w:rsidRPr="00000000">
        <w:rPr>
          <w:rtl w:val="0"/>
        </w:rPr>
        <w:t xml:space="preserve">depends on recognizing this asymmetry and re-anchoring marine-social-oceanic interrelationship in blue economy, blue justice, blue governance, technological blue transition and culture in the relational blue mindset, circulation of referential adaptation and acculturation, rather than the mastery of one sphere over the other.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