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agwek1"/>
      </w:pPr>
      <w:bookmarkStart w:id="20" w:name="X40fe798c1562a1a55c4a573b44fb6baf10712c8"/>
      <w:r>
        <w:t xml:space="preserve">From Marinization to Oceanization Theory: Sustainable Blue Economy Thresholds and Solutions</w:t>
      </w:r>
      <w:bookmarkEnd w:id="20"/>
    </w:p>
    <w:p>
      <w:pPr>
        <w:pStyle w:val="Nagwek2"/>
      </w:pPr>
      <w:bookmarkStart w:id="21" w:name="abstract"/>
      <w:r>
        <w:t xml:space="preserve">Abstract</w:t>
      </w:r>
      <w:bookmarkEnd w:id="21"/>
    </w:p>
    <w:p>
      <w:pPr>
        <w:pStyle w:val="FirstParagraph"/>
      </w:pPr>
      <w:r>
        <w:t xml:space="preserve">The starting point is maritime sociology, particularly its foundations in the work of Ludwik Janiszewski, who began developing his theory of marinization in the early 1970s. In the time of the Oceanic Turn, his semi-deterministic theoretical framework deserves not only to be revisited but also to be acknowledged as a means of foregrounding the Sustainable Blue Economy. Our contribution extends beyond re-examining it; drawing on the EU Sustainable Blue Economy agenda as a case study, we develop a multi-level analytical framework—the</w:t>
      </w:r>
      <w:r>
        <w:t xml:space="preserve"> </w:t>
      </w:r>
      <w:r>
        <w:rPr>
          <w:b/>
        </w:rPr>
        <w:t xml:space="preserve">Tripartite Model of Blue Dynamics (TMBD)</w:t>
      </w:r>
      <w:r>
        <w:t xml:space="preserve">—that operationalizes Janiszewski’s foundational insights for contemporary Anthropocene conditions. TMBD integrates three coupled dimensions: the</w:t>
      </w:r>
      <w:r>
        <w:t xml:space="preserve"> </w:t>
      </w:r>
      <w:r>
        <w:rPr>
          <w:b/>
        </w:rPr>
        <w:t xml:space="preserve">Marine</w:t>
      </w:r>
      <w:r>
        <w:t xml:space="preserve"> </w:t>
      </w:r>
      <w:r>
        <w:t xml:space="preserve">(biophysical agency), the</w:t>
      </w:r>
      <w:r>
        <w:t xml:space="preserve"> </w:t>
      </w:r>
      <w:r>
        <w:rPr>
          <w:b/>
        </w:rPr>
        <w:t xml:space="preserve">Maritime</w:t>
      </w:r>
      <w:r>
        <w:t xml:space="preserve"> </w:t>
      </w:r>
      <w:r>
        <w:t xml:space="preserve">(socio-technical and institutional agency), and the</w:t>
      </w:r>
      <w:r>
        <w:t xml:space="preserve"> </w:t>
      </w:r>
      <w:r>
        <w:rPr>
          <w:b/>
        </w:rPr>
        <w:t xml:space="preserve">Oceanic</w:t>
      </w:r>
      <w:r>
        <w:t xml:space="preserve"> </w:t>
      </w:r>
      <w:r>
        <w:t xml:space="preserve">(planetary governance and hydrosocial subjectivity). We argue that</w:t>
      </w:r>
      <w:r>
        <w:t xml:space="preserve"> </w:t>
      </w:r>
      <w:r>
        <w:rPr>
          <w:b/>
        </w:rPr>
        <w:t xml:space="preserve">Sustainable Blue Value</w:t>
      </w:r>
      <w:r>
        <w:t xml:space="preserve"> </w:t>
      </w:r>
      <w:r>
        <w:t xml:space="preserve">is not a sectoral output or a simple balance between environmental protection and economic growth, but rather a</w:t>
      </w:r>
      <w:r>
        <w:t xml:space="preserve"> </w:t>
      </w:r>
      <w:r>
        <w:rPr>
          <w:b/>
        </w:rPr>
        <w:t xml:space="preserve">measurable three-way equilibrium</w:t>
      </w:r>
      <w:r>
        <w:t xml:space="preserve"> </w:t>
      </w:r>
      <w:r>
        <w:t xml:space="preserve">where Re-marinisation (ecological regeneration), Re-maritimisation (socio-economic renewal), and Re-oceanisation (ontological reconnection) occur simultaneously under conditions of just, inclusive, and solidary collaborative cohabitation.</w:t>
      </w:r>
    </w:p>
    <w:p>
      <w:pPr>
        <w:pStyle w:val="BodyText"/>
      </w:pPr>
      <w:r>
        <w:t xml:space="preserve">By mapping the six priorities of the European Ocean Pact (2025) onto the TMBD axes and analyzing the High Seas Treaty (BBNJ Agreement, 2026) as a concrete Trans-oceanisation instrument, we demonstrate that this framework provides a coherence test for blue policy: any initiative must show net-positive movement across all three dimensions to generate sustainable value rather than reproduce extractive patterns. This article thus offers both a theoretical advancement in maritime sociology and a practical analytical tool for evaluating the legitimacy and effectiveness of blue economy governance in the 21st century.</w:t>
      </w:r>
    </w:p>
    <w:p>
      <w:pPr>
        <w:pStyle w:val="BodyText"/>
      </w:pPr>
      <w:r>
        <w:rPr>
          <w:b/>
        </w:rPr>
        <w:t xml:space="preserve">Keywords:</w:t>
      </w:r>
      <w:r>
        <w:t xml:space="preserve"> </w:t>
      </w:r>
      <w:r>
        <w:t xml:space="preserve">Blue Economy, Maritime Sociology, Marinization, Oceanization, Sustainable Development, Ocean Governance, European Ocean Pact, BBNJ, Tripartite Model</w:t>
      </w:r>
    </w:p>
    <w:p>
      <w:r>
        <w:pict>
          <v:rect style="width:0;height:1.5pt" o:hralign="center" o:hrstd="t" o:hr="t"/>
        </w:pict>
      </w:r>
    </w:p>
    <w:p>
      <w:pPr>
        <w:pStyle w:val="Nagwek2"/>
      </w:pPr>
      <w:bookmarkStart w:id="22" w:name="X04f6a0dc854d4368464846dde07fbdecfd6595c"/>
      <w:r>
        <w:t xml:space="preserve">1. Introduction: From Two-Factor to Three-Dimensional Blue Dynamics</w:t>
      </w:r>
      <w:bookmarkEnd w:id="22"/>
    </w:p>
    <w:p>
      <w:pPr>
        <w:pStyle w:val="FirstParagraph"/>
      </w:pPr>
      <w:r>
        <w:t xml:space="preserve">The contemporary discourse on the</w:t>
      </w:r>
      <w:r>
        <w:t xml:space="preserve"> </w:t>
      </w:r>
      <w:r>
        <w:t xml:space="preserve">“</w:t>
      </w:r>
      <w:r>
        <w:t xml:space="preserve">Blue Economy</w:t>
      </w:r>
      <w:r>
        <w:t xml:space="preserve">”</w:t>
      </w:r>
      <w:r>
        <w:t xml:space="preserve"> </w:t>
      </w:r>
      <w:r>
        <w:t xml:space="preserve">has reached a critical juncture. While the concept has gained remarkable traction in policy circles—from the European Union’s Ocean Pact to the United Nations’ High Seas Treaty—it often suffers from conceptual ambiguity and lacks a robust theoretical foundation capable of explaining</w:t>
      </w:r>
      <w:r>
        <w:t xml:space="preserve"> </w:t>
      </w:r>
      <w:r>
        <w:rPr>
          <w:i/>
        </w:rPr>
        <w:t xml:space="preserve">how</w:t>
      </w:r>
      <w:r>
        <w:t xml:space="preserve"> </w:t>
      </w:r>
      <w:r>
        <w:t xml:space="preserve">ocean-based development can be genuinely sustainable rather than merely</w:t>
      </w:r>
      <w:r>
        <w:t xml:space="preserve"> </w:t>
      </w:r>
      <w:r>
        <w:t xml:space="preserve">“</w:t>
      </w:r>
      <w:r>
        <w:t xml:space="preserve">blue-washed</w:t>
      </w:r>
      <w:r>
        <w:t xml:space="preserve">”</w:t>
      </w:r>
      <w:r>
        <w:t xml:space="preserve"> </w:t>
      </w:r>
      <w:r>
        <w:t xml:space="preserve">extraction. The typical framing treats sustainability as a</w:t>
      </w:r>
      <w:r>
        <w:t xml:space="preserve"> </w:t>
      </w:r>
      <w:r>
        <w:rPr>
          <w:i/>
        </w:rPr>
        <w:t xml:space="preserve">balance</w:t>
      </w:r>
      <w:r>
        <w:t xml:space="preserve"> </w:t>
      </w:r>
      <w:r>
        <w:t xml:space="preserve">between environmental protection and economic growth, an approach that obscures the fundamental question: what are the causal mechanisms that produce sustainable value from ocean systems, and under what conditions do those mechanisms operate?</w:t>
      </w:r>
    </w:p>
    <w:p>
      <w:pPr>
        <w:pStyle w:val="BodyText"/>
      </w:pPr>
      <w:r>
        <w:t xml:space="preserve">This article argues that maritime sociology, particularly the work of Polish scholar Ludwik Janiszewski, provides an underappreciated but powerful starting point for answering that question. Janiszewski’s approach, developed from the early 1970s onward,</w:t>
      </w:r>
      <w:r>
        <w:t xml:space="preserve"> </w:t>
      </w:r>
      <w:r>
        <w:rPr>
          <w:b/>
        </w:rPr>
        <w:t xml:space="preserve">is not geographical determinism</w:t>
      </w:r>
      <w:r>
        <w:t xml:space="preserve">; rather, it distinguishes a</w:t>
      </w:r>
      <w:r>
        <w:t xml:space="preserve"> </w:t>
      </w:r>
      <w:r>
        <w:rPr>
          <w:i/>
        </w:rPr>
        <w:t xml:space="preserve">marine factor</w:t>
      </w:r>
      <w:r>
        <w:t xml:space="preserve"> </w:t>
      </w:r>
      <w:r>
        <w:t xml:space="preserve">(natural) and a</w:t>
      </w:r>
      <w:r>
        <w:t xml:space="preserve"> </w:t>
      </w:r>
      <w:r>
        <w:rPr>
          <w:i/>
        </w:rPr>
        <w:t xml:space="preserve">human/social factor</w:t>
      </w:r>
      <w:r>
        <w:t xml:space="preserve"> </w:t>
      </w:r>
      <w:r>
        <w:t xml:space="preserve">and treats development as</w:t>
      </w:r>
      <w:r>
        <w:t xml:space="preserve"> </w:t>
      </w:r>
      <w:r>
        <w:rPr>
          <w:b/>
        </w:rPr>
        <w:t xml:space="preserve">conditioned by nature and shaped by human activity</w:t>
      </w:r>
      <w:r>
        <w:t xml:space="preserve"> </w:t>
      </w:r>
      <w:r>
        <w:t xml:space="preserve">(Janiszewski, 1987, as discussed in contemporary syntheses). This is the usable core of a</w:t>
      </w:r>
      <w:r>
        <w:t xml:space="preserve"> </w:t>
      </w:r>
      <w:r>
        <w:rPr>
          <w:i/>
        </w:rPr>
        <w:t xml:space="preserve">semi-deterministic</w:t>
      </w:r>
      <w:r>
        <w:t xml:space="preserve"> </w:t>
      </w:r>
      <w:r>
        <w:t xml:space="preserve">theory: (i) the sea constrains and enables; (ii) societies translate those constraints into institutions, infrastructures, and cultures; (iii) the resulting maritime system feeds back into the sea.</w:t>
      </w:r>
    </w:p>
    <w:p>
      <w:pPr>
        <w:pStyle w:val="BodyText"/>
      </w:pPr>
      <w:r>
        <w:t xml:space="preserve">However, Janiszewski’s two-factor model, while prescient, was formulated before the full recognition of Anthropocene conditions—planetary-scale entanglement, transboundary ocean governance challenges, and the transcorporeal vulnerability that links human bodies and communities directly to marine metabolic processes (microplastics, climate coupling, toxicity pathways). Our novelty move is therefore to</w:t>
      </w:r>
      <w:r>
        <w:t xml:space="preserve"> </w:t>
      </w:r>
      <w:r>
        <w:rPr>
          <w:b/>
        </w:rPr>
        <w:t xml:space="preserve">keep the two-factor engine and add a third, integrative</w:t>
      </w:r>
      <w:r>
        <w:rPr>
          <w:b/>
        </w:rPr>
        <w:t xml:space="preserve"> </w:t>
      </w:r>
      <w:r>
        <w:rPr>
          <w:b/>
        </w:rPr>
        <w:t xml:space="preserve">“</w:t>
      </w:r>
      <w:r>
        <w:rPr>
          <w:b/>
        </w:rPr>
        <w:t xml:space="preserve">oceanic</w:t>
      </w:r>
      <w:r>
        <w:rPr>
          <w:b/>
        </w:rPr>
        <w:t xml:space="preserve">”</w:t>
      </w:r>
      <w:r>
        <w:rPr>
          <w:b/>
        </w:rPr>
        <w:t xml:space="preserve"> </w:t>
      </w:r>
      <w:r>
        <w:rPr>
          <w:b/>
        </w:rPr>
        <w:t xml:space="preserve">dimension</w:t>
      </w:r>
      <w:r>
        <w:t xml:space="preserve"> </w:t>
      </w:r>
      <w:r>
        <w:t xml:space="preserve">that captures planetary entanglement, cross-border governance, and transcorporeal vulnerability. We call this the</w:t>
      </w:r>
      <w:r>
        <w:t xml:space="preserve"> </w:t>
      </w:r>
      <w:r>
        <w:rPr>
          <w:b/>
        </w:rPr>
        <w:t xml:space="preserve">Tripartite Model of Blue Dynamics (TMBD)</w:t>
      </w:r>
      <w:r>
        <w:t xml:space="preserve">.</w:t>
      </w:r>
    </w:p>
    <w:p>
      <w:pPr>
        <w:pStyle w:val="Nagwek3"/>
      </w:pPr>
      <w:bookmarkStart w:id="23" w:name="Xcc9b9730a47bf093e57ab4ce4e5e45f89d85b51"/>
      <w:r>
        <w:t xml:space="preserve">1.1 Defining the Tripartite Model of Blue Dynamics (TMBD)</w:t>
      </w:r>
      <w:bookmarkEnd w:id="23"/>
    </w:p>
    <w:p>
      <w:pPr>
        <w:pStyle w:val="FirstParagraph"/>
      </w:pPr>
      <w:r>
        <w:rPr>
          <w:b/>
        </w:rPr>
        <w:t xml:space="preserve">Tripartite Model of Blue Dynamics (TMBD)</w:t>
      </w:r>
      <w:r>
        <w:t xml:space="preserve"> </w:t>
      </w:r>
      <w:r>
        <w:t xml:space="preserve">is a semi-deterministic, three-axis framework in which:</w:t>
      </w:r>
    </w:p>
    <w:p>
      <w:pPr>
        <w:numPr>
          <w:ilvl w:val="0"/>
          <w:numId w:val="1001"/>
        </w:numPr>
        <w:pStyle w:val="Compact"/>
      </w:pPr>
      <w:r>
        <w:rPr>
          <w:b/>
        </w:rPr>
        <w:t xml:space="preserve">Marine dynamics (M)</w:t>
      </w:r>
      <w:r>
        <w:t xml:space="preserve"> </w:t>
      </w:r>
      <w:r>
        <w:t xml:space="preserve">impose biophysical constraints and possibilities (ocean as force-field: tides, circulation, climate coupling, biodiversity metabolism, material limits);</w:t>
      </w:r>
    </w:p>
    <w:p>
      <w:pPr>
        <w:numPr>
          <w:ilvl w:val="0"/>
          <w:numId w:val="1001"/>
        </w:numPr>
        <w:pStyle w:val="Compact"/>
      </w:pPr>
      <w:r>
        <w:rPr>
          <w:b/>
        </w:rPr>
        <w:t xml:space="preserve">Maritime dynamics (T)</w:t>
      </w:r>
      <w:r>
        <w:t xml:space="preserve"> </w:t>
      </w:r>
      <w:r>
        <w:t xml:space="preserve">translate those constraints into techno-economic and institutional forms (</w:t>
      </w:r>
      <w:r>
        <w:t xml:space="preserve">“</w:t>
      </w:r>
      <w:r>
        <w:t xml:space="preserve">humans terraforming the sea</w:t>
      </w:r>
      <w:r>
        <w:t xml:space="preserve">”</w:t>
      </w:r>
      <w:r>
        <w:t xml:space="preserve">: ports, fleets, energy grids, Marine Spatial Planning, logistics, data infrastructures, property regimes);</w:t>
      </w:r>
    </w:p>
    <w:p>
      <w:pPr>
        <w:numPr>
          <w:ilvl w:val="0"/>
          <w:numId w:val="1001"/>
        </w:numPr>
        <w:pStyle w:val="Compact"/>
      </w:pPr>
      <w:r>
        <w:rPr>
          <w:b/>
        </w:rPr>
        <w:t xml:space="preserve">Oceanic dynamics (O)</w:t>
      </w:r>
      <w:r>
        <w:t xml:space="preserve"> </w:t>
      </w:r>
      <w:r>
        <w:t xml:space="preserve">integrate M and T through planetary-scale knowledge, legitimacy, and governance (the</w:t>
      </w:r>
      <w:r>
        <w:t xml:space="preserve"> </w:t>
      </w:r>
      <w:r>
        <w:t xml:space="preserve">“</w:t>
      </w:r>
      <w:r>
        <w:t xml:space="preserve">one ocean</w:t>
      </w:r>
      <w:r>
        <w:t xml:space="preserve">”</w:t>
      </w:r>
      <w:r>
        <w:t xml:space="preserve"> </w:t>
      </w:r>
      <w:r>
        <w:t xml:space="preserve">condition: cross-border interdependence, ABNJ governance, ocean literacy, transcorporeal vulnerability, moral–legal recognition).</w:t>
      </w:r>
    </w:p>
    <w:p>
      <w:pPr>
        <w:pStyle w:val="FirstParagraph"/>
      </w:pPr>
      <w:r>
        <w:rPr>
          <w:b/>
        </w:rPr>
        <w:t xml:space="preserve">Sustainable Blue Value</w:t>
      </w:r>
      <w:r>
        <w:t xml:space="preserve"> </w:t>
      </w:r>
      <w:r>
        <w:t xml:space="preserve">is the equilibrium region where</w:t>
      </w:r>
      <w:r>
        <w:t xml:space="preserve"> </w:t>
      </w:r>
      <w:r>
        <w:rPr>
          <w:b/>
        </w:rPr>
        <w:t xml:space="preserve">Re-marinisation</w:t>
      </w:r>
      <w:r>
        <w:t xml:space="preserve"> </w:t>
      </w:r>
      <w:r>
        <w:t xml:space="preserve">(regeneration of biophysical integrity),</w:t>
      </w:r>
      <w:r>
        <w:t xml:space="preserve"> </w:t>
      </w:r>
      <w:r>
        <w:rPr>
          <w:b/>
        </w:rPr>
        <w:t xml:space="preserve">Re-maritimisation</w:t>
      </w:r>
      <w:r>
        <w:t xml:space="preserve"> </w:t>
      </w:r>
      <w:r>
        <w:t xml:space="preserve">(socio-economic and institutional renewal), and</w:t>
      </w:r>
      <w:r>
        <w:t xml:space="preserve"> </w:t>
      </w:r>
      <w:r>
        <w:rPr>
          <w:b/>
        </w:rPr>
        <w:t xml:space="preserve">Re-oceanisation</w:t>
      </w:r>
      <w:r>
        <w:t xml:space="preserve"> </w:t>
      </w:r>
      <w:r>
        <w:t xml:space="preserve">(ontological–hydrosocial reconnection) co-occur under</w:t>
      </w:r>
      <w:r>
        <w:t xml:space="preserve"> </w:t>
      </w:r>
      <w:r>
        <w:rPr>
          <w:b/>
        </w:rPr>
        <w:t xml:space="preserve">transcorporeal/trans-corporate cohabitation</w:t>
      </w:r>
      <w:r>
        <w:t xml:space="preserve"> </w:t>
      </w:r>
      <w:r>
        <w:t xml:space="preserve">conditions that prevent cost-shifting and enforce distributive and procedural justice.</w:t>
      </w:r>
    </w:p>
    <w:p>
      <w:pPr>
        <w:pStyle w:val="BodyText"/>
      </w:pPr>
      <w:r>
        <w:t xml:space="preserve">This definition transforms</w:t>
      </w:r>
      <w:r>
        <w:t xml:space="preserve"> </w:t>
      </w:r>
      <w:r>
        <w:t xml:space="preserve">“</w:t>
      </w:r>
      <w:r>
        <w:t xml:space="preserve">Blue Economy</w:t>
      </w:r>
      <w:r>
        <w:t xml:space="preserve">”</w:t>
      </w:r>
      <w:r>
        <w:t xml:space="preserve"> </w:t>
      </w:r>
      <w:r>
        <w:t xml:space="preserve">from aspirational rhetoric into a</w:t>
      </w:r>
      <w:r>
        <w:t xml:space="preserve"> </w:t>
      </w:r>
      <w:r>
        <w:rPr>
          <w:i/>
        </w:rPr>
        <w:t xml:space="preserve">governable and measurable phenomenon</w:t>
      </w:r>
      <w:r>
        <w:t xml:space="preserve">: Blue Value exists only when all three axes move positively and when</w:t>
      </w:r>
      <w:r>
        <w:t xml:space="preserve"> </w:t>
      </w:r>
      <w:r>
        <w:t xml:space="preserve">“</w:t>
      </w:r>
      <w:r>
        <w:t xml:space="preserve">Trans-</w:t>
      </w:r>
      <w:r>
        <w:t xml:space="preserve">”</w:t>
      </w:r>
      <w:r>
        <w:t xml:space="preserve"> </w:t>
      </w:r>
      <w:r>
        <w:t xml:space="preserve">mechanisms (discussed below) ensure that benefits, risks, and voice are shared rather than externalized onto the environment, marginalized communities, or future generations.</w:t>
      </w:r>
    </w:p>
    <w:p>
      <w:pPr>
        <w:pStyle w:val="Nagwek3"/>
      </w:pPr>
      <w:bookmarkStart w:id="24" w:name="Xa46896a0602e388237527fb8d8b15fff5196840"/>
      <w:r>
        <w:t xml:space="preserve">1.2 The Semi-Deterministic Engine: How the Model Moves</w:t>
      </w:r>
      <w:bookmarkEnd w:id="24"/>
    </w:p>
    <w:p>
      <w:pPr>
        <w:pStyle w:val="FirstParagraph"/>
      </w:pPr>
      <w:r>
        <w:t xml:space="preserve">The TMBD is not a static typology but a</w:t>
      </w:r>
      <w:r>
        <w:t xml:space="preserve"> </w:t>
      </w:r>
      <w:r>
        <w:rPr>
          <w:i/>
        </w:rPr>
        <w:t xml:space="preserve">dynamic causal loop</w:t>
      </w:r>
      <w:r>
        <w:t xml:space="preserve">. As recent scholarship emphasizes,</w:t>
      </w:r>
      <w:r>
        <w:t xml:space="preserve"> </w:t>
      </w:r>
      <w:r>
        <w:t xml:space="preserve">“</w:t>
      </w:r>
      <w:r>
        <w:t xml:space="preserve">There’s no nature that we just act upon. Instead, it’s also acting back upon us</w:t>
      </w:r>
      <w:r>
        <w:t xml:space="preserve">”</w:t>
      </w:r>
      <w:r>
        <w:t xml:space="preserve"> </w:t>
      </w:r>
      <w:r>
        <w:t xml:space="preserve">(transcorporeality literature). This is the Anthropocene upgrade of semi-determinism. In TMBD:</w:t>
      </w:r>
    </w:p>
    <w:p>
      <w:pPr>
        <w:numPr>
          <w:ilvl w:val="0"/>
          <w:numId w:val="1002"/>
        </w:numPr>
        <w:pStyle w:val="Compact"/>
      </w:pPr>
      <w:r>
        <w:rPr>
          <w:b/>
        </w:rPr>
        <w:t xml:space="preserve">Marine trigger (M):</w:t>
      </w:r>
      <w:r>
        <w:t xml:space="preserve"> </w:t>
      </w:r>
      <w:r>
        <w:t xml:space="preserve">A biophysical signal or pressure emerges (warming, hypoxia, storm surge, stock decline).</w:t>
      </w:r>
    </w:p>
    <w:p>
      <w:pPr>
        <w:numPr>
          <w:ilvl w:val="0"/>
          <w:numId w:val="1002"/>
        </w:numPr>
        <w:pStyle w:val="Compact"/>
      </w:pPr>
      <w:r>
        <w:rPr>
          <w:b/>
        </w:rPr>
        <w:t xml:space="preserve">Maritime translation (T):</w:t>
      </w:r>
      <w:r>
        <w:t xml:space="preserve"> </w:t>
      </w:r>
      <w:r>
        <w:t xml:space="preserve">Institutions and technologies respond (port strategies, offshore build-out, MSP zoning, regulation, investment).</w:t>
      </w:r>
    </w:p>
    <w:p>
      <w:pPr>
        <w:numPr>
          <w:ilvl w:val="0"/>
          <w:numId w:val="1002"/>
        </w:numPr>
        <w:pStyle w:val="Compact"/>
      </w:pPr>
      <w:r>
        <w:rPr>
          <w:b/>
        </w:rPr>
        <w:t xml:space="preserve">Oceanic framing (O):</w:t>
      </w:r>
      <w:r>
        <w:t xml:space="preserve"> </w:t>
      </w:r>
      <w:r>
        <w:t xml:space="preserve">Legitimacy, justice, and knowledge settlements determine what counts as acceptable transformation (whose risk? whose benefit? what evidence counts? what rights exist?).</w:t>
      </w:r>
    </w:p>
    <w:p>
      <w:pPr>
        <w:numPr>
          <w:ilvl w:val="0"/>
          <w:numId w:val="1002"/>
        </w:numPr>
        <w:pStyle w:val="Compact"/>
      </w:pPr>
      <w:r>
        <w:rPr>
          <w:b/>
        </w:rPr>
        <w:t xml:space="preserve">Performance:</w:t>
      </w:r>
      <w:r>
        <w:t xml:space="preserve"> </w:t>
      </w:r>
      <w:r>
        <w:t xml:space="preserve">The enacted infrastructure, governance arrangement, or behavior pattern.</w:t>
      </w:r>
    </w:p>
    <w:p>
      <w:pPr>
        <w:numPr>
          <w:ilvl w:val="0"/>
          <w:numId w:val="1002"/>
        </w:numPr>
        <w:pStyle w:val="Compact"/>
      </w:pPr>
      <w:r>
        <w:rPr>
          <w:b/>
        </w:rPr>
        <w:t xml:space="preserve">Resonance:</w:t>
      </w:r>
      <w:r>
        <w:t xml:space="preserve"> </w:t>
      </w:r>
      <w:r>
        <w:t xml:space="preserve">The performance reshapes subsequent triggers (M), incentives (T), and meanings (O), creating feedback loops.</w:t>
      </w:r>
    </w:p>
    <w:p>
      <w:pPr>
        <w:pStyle w:val="FirstParagraph"/>
      </w:pPr>
      <w:r>
        <w:rPr>
          <w:b/>
        </w:rPr>
        <w:t xml:space="preserve">M constrains T</w:t>
      </w:r>
      <w:r>
        <w:t xml:space="preserve">,</w:t>
      </w:r>
      <w:r>
        <w:t xml:space="preserve"> </w:t>
      </w:r>
      <w:r>
        <w:rPr>
          <w:b/>
        </w:rPr>
        <w:t xml:space="preserve">T transforms M</w:t>
      </w:r>
      <w:r>
        <w:t xml:space="preserve">, and</w:t>
      </w:r>
      <w:r>
        <w:t xml:space="preserve"> </w:t>
      </w:r>
      <w:r>
        <w:rPr>
          <w:b/>
        </w:rPr>
        <w:t xml:space="preserve">O frames what counts as acceptable transformation</w:t>
      </w:r>
      <w:r>
        <w:t xml:space="preserve"> </w:t>
      </w:r>
      <w:r>
        <w:t xml:space="preserve">while also expanding the scale of feedback from local coasts to Areas Beyond National Jurisdiction (ABNJ) and planetary cycles. This loop is the engine that either generates sustainable Blue Value or reproduces extractive dynamics—depending on whether the</w:t>
      </w:r>
      <w:r>
        <w:t xml:space="preserve"> </w:t>
      </w:r>
      <w:r>
        <w:t xml:space="preserve">“</w:t>
      </w:r>
      <w:r>
        <w:t xml:space="preserve">Trans-</w:t>
      </w:r>
      <w:r>
        <w:t xml:space="preserve">”</w:t>
      </w:r>
      <w:r>
        <w:t xml:space="preserve"> </w:t>
      </w:r>
      <w:r>
        <w:t xml:space="preserve">conditions (Section 3) are met.</w:t>
      </w:r>
    </w:p>
    <w:p>
      <w:r>
        <w:pict>
          <v:rect style="width:0;height:1.5pt" o:hralign="center" o:hrstd="t" o:hr="t"/>
        </w:pict>
      </w:r>
    </w:p>
    <w:p>
      <w:pPr>
        <w:pStyle w:val="Nagwek2"/>
      </w:pPr>
      <w:bookmarkStart w:id="25" w:name="Xf0d7952898ec36db73abf6ad197fae52ba64ec5"/>
      <w:r>
        <w:t xml:space="preserve">2. Theoretical Foundations: Janiszewski’s Marinization and Its Evolution</w:t>
      </w:r>
      <w:bookmarkEnd w:id="25"/>
    </w:p>
    <w:p>
      <w:pPr>
        <w:pStyle w:val="Nagwek3"/>
      </w:pPr>
      <w:bookmarkStart w:id="26" w:name="janiszewskis-two-factor-model"/>
      <w:r>
        <w:t xml:space="preserve">2.1 Janiszewski’s Two-Factor Model</w:t>
      </w:r>
      <w:bookmarkEnd w:id="26"/>
    </w:p>
    <w:p>
      <w:pPr>
        <w:pStyle w:val="FirstParagraph"/>
      </w:pPr>
      <w:r>
        <w:t xml:space="preserve">Ludwik Janiszewski’s theory of marinization emerged in the 1970s as a response to the limitations of both economic geography (which often treated the sea as a passive resource base) and environmental determinism (which denied human agency). His core insight was that maritime development is shaped by the interplay of two factors:</w:t>
      </w:r>
    </w:p>
    <w:p>
      <w:pPr>
        <w:numPr>
          <w:ilvl w:val="0"/>
          <w:numId w:val="1003"/>
        </w:numPr>
        <w:pStyle w:val="Compact"/>
      </w:pPr>
      <w:r>
        <w:rPr>
          <w:b/>
        </w:rPr>
        <w:t xml:space="preserve">The Marine Factor (Natural):</w:t>
      </w:r>
      <w:r>
        <w:t xml:space="preserve"> </w:t>
      </w:r>
      <w:r>
        <w:t xml:space="preserve">The physical and biological characteristics of the ocean—currents, tides, bathymetry, climate, marine ecosystems—that set the conditions of possibility for human activity.</w:t>
      </w:r>
    </w:p>
    <w:p>
      <w:pPr>
        <w:numPr>
          <w:ilvl w:val="0"/>
          <w:numId w:val="1003"/>
        </w:numPr>
        <w:pStyle w:val="Compact"/>
      </w:pPr>
      <w:r>
        <w:rPr>
          <w:b/>
        </w:rPr>
        <w:t xml:space="preserve">The Human/Social Factor:</w:t>
      </w:r>
      <w:r>
        <w:t xml:space="preserve"> </w:t>
      </w:r>
      <w:r>
        <w:t xml:space="preserve">The cultural, institutional, technological, and economic capacities that societies bring to their engagement with the sea.</w:t>
      </w:r>
    </w:p>
    <w:p>
      <w:pPr>
        <w:pStyle w:val="FirstParagraph"/>
      </w:pPr>
      <w:r>
        <w:t xml:space="preserve">Crucially, Janiszewski argued that development is</w:t>
      </w:r>
      <w:r>
        <w:t xml:space="preserve"> </w:t>
      </w:r>
      <w:r>
        <w:rPr>
          <w:b/>
        </w:rPr>
        <w:t xml:space="preserve">conditioned by nature and shaped by human activity</w:t>
      </w:r>
      <w:r>
        <w:t xml:space="preserve">—a formulation that avoids both technological triumphalism and environmental fatalism. The sea is not a blank slate, nor is it an iron cage; it is a</w:t>
      </w:r>
      <w:r>
        <w:t xml:space="preserve"> </w:t>
      </w:r>
      <w:r>
        <w:rPr>
          <w:i/>
        </w:rPr>
        <w:t xml:space="preserve">co-constitutive partner</w:t>
      </w:r>
      <w:r>
        <w:t xml:space="preserve"> </w:t>
      </w:r>
      <w:r>
        <w:t xml:space="preserve">in the production of maritime societies.</w:t>
      </w:r>
    </w:p>
    <w:p>
      <w:pPr>
        <w:pStyle w:val="BodyText"/>
      </w:pPr>
      <w:r>
        <w:t xml:space="preserve">This two-factor logic was ahead of its time, anticipating contemporary debates in Science and Technology Studies (STS), political ecology, and more-than-human geography. However, it was formulated before the full recognition of three critical Anthropocene conditions:</w:t>
      </w:r>
    </w:p>
    <w:p>
      <w:pPr>
        <w:numPr>
          <w:ilvl w:val="0"/>
          <w:numId w:val="1004"/>
        </w:numPr>
        <w:pStyle w:val="Compact"/>
      </w:pPr>
      <w:r>
        <w:rPr>
          <w:b/>
        </w:rPr>
        <w:t xml:space="preserve">Planetary entanglement:</w:t>
      </w:r>
      <w:r>
        <w:t xml:space="preserve"> </w:t>
      </w:r>
      <w:r>
        <w:t xml:space="preserve">Local marine changes (e.g., Arctic ice loss) cascade through global systems (climate, sea-level, circulation patterns).</w:t>
      </w:r>
    </w:p>
    <w:p>
      <w:pPr>
        <w:numPr>
          <w:ilvl w:val="0"/>
          <w:numId w:val="1004"/>
        </w:numPr>
        <w:pStyle w:val="Compact"/>
      </w:pPr>
      <w:r>
        <w:rPr>
          <w:b/>
        </w:rPr>
        <w:t xml:space="preserve">Transcorporeal vulnerability:</w:t>
      </w:r>
      <w:r>
        <w:t xml:space="preserve"> </w:t>
      </w:r>
      <w:r>
        <w:t xml:space="preserve">Marine processes materially traverse human and non-human bodies (microplastics, toxins, pathogens, water-cycle coupling), making</w:t>
      </w:r>
      <w:r>
        <w:t xml:space="preserve"> </w:t>
      </w:r>
      <w:r>
        <w:t xml:space="preserve">“</w:t>
      </w:r>
      <w:r>
        <w:t xml:space="preserve">externalities</w:t>
      </w:r>
      <w:r>
        <w:t xml:space="preserve">”</w:t>
      </w:r>
      <w:r>
        <w:t xml:space="preserve"> </w:t>
      </w:r>
      <w:r>
        <w:t xml:space="preserve">internal social facts.</w:t>
      </w:r>
    </w:p>
    <w:p>
      <w:pPr>
        <w:numPr>
          <w:ilvl w:val="0"/>
          <w:numId w:val="1004"/>
        </w:numPr>
        <w:pStyle w:val="Compact"/>
      </w:pPr>
      <w:r>
        <w:rPr>
          <w:b/>
        </w:rPr>
        <w:t xml:space="preserve">ABNJ governance gaps:</w:t>
      </w:r>
      <w:r>
        <w:t xml:space="preserve"> </w:t>
      </w:r>
      <w:r>
        <w:t xml:space="preserve">The majority of ocean space lies beyond national jurisdiction, requiring new legal and epistemic infrastructures.</w:t>
      </w:r>
    </w:p>
    <w:p>
      <w:pPr>
        <w:pStyle w:val="Nagwek3"/>
      </w:pPr>
      <w:bookmarkStart w:id="27" w:name="Xedc6f6c3ba8d34df5ab7a576e82ef2fad8f089e"/>
      <w:r>
        <w:t xml:space="preserve">2.2 The Need for a Third Axis: The Oceanic Dimension</w:t>
      </w:r>
      <w:bookmarkEnd w:id="27"/>
    </w:p>
    <w:p>
      <w:pPr>
        <w:pStyle w:val="FirstParagraph"/>
      </w:pPr>
      <w:r>
        <w:t xml:space="preserve">To address these gaps, we propose a third axis—</w:t>
      </w:r>
      <w:r>
        <w:rPr>
          <w:b/>
        </w:rPr>
        <w:t xml:space="preserve">Oceanic (O)</w:t>
      </w:r>
      <w:r>
        <w:t xml:space="preserve">—that does not replace but rather</w:t>
      </w:r>
      <w:r>
        <w:t xml:space="preserve"> </w:t>
      </w:r>
      <w:r>
        <w:rPr>
          <w:i/>
        </w:rPr>
        <w:t xml:space="preserve">integrates</w:t>
      </w:r>
      <w:r>
        <w:t xml:space="preserve"> </w:t>
      </w:r>
      <w:r>
        <w:t xml:space="preserve">the Marine and Maritime factors at planetary scale. The Oceanic dimension captures:</w:t>
      </w:r>
    </w:p>
    <w:p>
      <w:pPr>
        <w:numPr>
          <w:ilvl w:val="0"/>
          <w:numId w:val="1005"/>
        </w:numPr>
        <w:pStyle w:val="Compact"/>
      </w:pPr>
      <w:r>
        <w:rPr>
          <w:b/>
        </w:rPr>
        <w:t xml:space="preserve">Hydrosocial subjectivity:</w:t>
      </w:r>
      <w:r>
        <w:t xml:space="preserve"> </w:t>
      </w:r>
      <w:r>
        <w:t xml:space="preserve">The reflexive capacity of societies to perceive and govern the coupled ocean–society system. As UNESCO’s Ocean Literacy framework states,</w:t>
      </w:r>
      <w:r>
        <w:t xml:space="preserve"> </w:t>
      </w:r>
      <w:r>
        <w:t xml:space="preserve">“</w:t>
      </w:r>
      <w:r>
        <w:t xml:space="preserve">Ocean literacy is the understanding of how the ocean affects us—and how we affect the ocean</w:t>
      </w:r>
      <w:r>
        <w:t xml:space="preserve">”</w:t>
      </w:r>
      <w:r>
        <w:t xml:space="preserve"> </w:t>
      </w:r>
      <w:r>
        <w:t xml:space="preserve">(UNESCO, 2023). This is the minimal operational definition of the O-axis.</w:t>
      </w:r>
    </w:p>
    <w:p>
      <w:pPr>
        <w:numPr>
          <w:ilvl w:val="0"/>
          <w:numId w:val="1005"/>
        </w:numPr>
        <w:pStyle w:val="Compact"/>
      </w:pPr>
      <w:r>
        <w:rPr>
          <w:b/>
        </w:rPr>
        <w:t xml:space="preserve">Planetary governance:</w:t>
      </w:r>
      <w:r>
        <w:t xml:space="preserve"> </w:t>
      </w:r>
      <w:r>
        <w:t xml:space="preserve">The institutional architectures (treaties, conventions, data-sharing platforms) that make</w:t>
      </w:r>
      <w:r>
        <w:t xml:space="preserve"> </w:t>
      </w:r>
      <w:r>
        <w:t xml:space="preserve">“</w:t>
      </w:r>
      <w:r>
        <w:t xml:space="preserve">one ocean</w:t>
      </w:r>
      <w:r>
        <w:t xml:space="preserve">”</w:t>
      </w:r>
      <w:r>
        <w:t xml:space="preserve"> </w:t>
      </w:r>
      <w:r>
        <w:t xml:space="preserve">governable across jurisdictions and scales.</w:t>
      </w:r>
    </w:p>
    <w:p>
      <w:pPr>
        <w:numPr>
          <w:ilvl w:val="0"/>
          <w:numId w:val="1005"/>
        </w:numPr>
        <w:pStyle w:val="Compact"/>
      </w:pPr>
      <w:r>
        <w:rPr>
          <w:b/>
        </w:rPr>
        <w:t xml:space="preserve">Ontological recognition:</w:t>
      </w:r>
      <w:r>
        <w:t xml:space="preserve"> </w:t>
      </w:r>
      <w:r>
        <w:t xml:space="preserve">The moral and legal acknowledgment of the ocean’s agency and intrinsic value, including rights-of-nature-like logics and procedural justice mechanisms that give</w:t>
      </w:r>
      <w:r>
        <w:t xml:space="preserve"> </w:t>
      </w:r>
      <w:r>
        <w:t xml:space="preserve">“</w:t>
      </w:r>
      <w:r>
        <w:t xml:space="preserve">voice</w:t>
      </w:r>
      <w:r>
        <w:t xml:space="preserve">”</w:t>
      </w:r>
      <w:r>
        <w:t xml:space="preserve"> </w:t>
      </w:r>
      <w:r>
        <w:t xml:space="preserve">to non-humans and future generations.</w:t>
      </w:r>
    </w:p>
    <w:p>
      <w:pPr>
        <w:pStyle w:val="FirstParagraph"/>
      </w:pPr>
      <w:r>
        <w:t xml:space="preserve">The Oceanic axis is not a separate domain but the</w:t>
      </w:r>
      <w:r>
        <w:t xml:space="preserve"> </w:t>
      </w:r>
      <w:r>
        <w:rPr>
          <w:i/>
        </w:rPr>
        <w:t xml:space="preserve">integrative layer</w:t>
      </w:r>
      <w:r>
        <w:t xml:space="preserve"> </w:t>
      </w:r>
      <w:r>
        <w:t xml:space="preserve">that allows M and T to be coordinated at scales beyond the nation-state and beyond purely instrumental rationality. It is the dimension where</w:t>
      </w:r>
      <w:r>
        <w:t xml:space="preserve"> </w:t>
      </w:r>
      <w:r>
        <w:rPr>
          <w:b/>
        </w:rPr>
        <w:t xml:space="preserve">knowledge, legitimacy, and responsibility</w:t>
      </w:r>
      <w:r>
        <w:t xml:space="preserve"> </w:t>
      </w:r>
      <w:r>
        <w:t xml:space="preserve">are negotiated.</w:t>
      </w:r>
    </w:p>
    <w:p>
      <w:pPr>
        <w:pStyle w:val="Nagwek3"/>
      </w:pPr>
      <w:bookmarkStart w:id="28" w:name="X1eb1696d00ba12f79abf05cf459b8c0bea7f3c8"/>
      <w:r>
        <w:t xml:space="preserve">2.3 From Marinization to Oceanization: A Conceptual Genealogy</w:t>
      </w:r>
      <w:bookmarkEnd w:id="28"/>
    </w:p>
    <w:p>
      <w:pPr>
        <w:pStyle w:val="FirstParagraph"/>
      </w:pPr>
      <w:r>
        <w:t xml:space="preserve">We can now trace a conceptual genealogy:</w:t>
      </w:r>
    </w:p>
    <w:p>
      <w:pPr>
        <w:numPr>
          <w:ilvl w:val="0"/>
          <w:numId w:val="1006"/>
        </w:numPr>
        <w:pStyle w:val="Compact"/>
      </w:pPr>
      <w:r>
        <w:rPr>
          <w:b/>
        </w:rPr>
        <w:t xml:space="preserve">Marinization (Janiszewski):</w:t>
      </w:r>
      <w:r>
        <w:t xml:space="preserve"> </w:t>
      </w:r>
      <w:r>
        <w:t xml:space="preserve">The process by which societies adapt to and are shaped by marine environments, producing distinctive maritime cultures, economies, and institutions.</w:t>
      </w:r>
    </w:p>
    <w:p>
      <w:pPr>
        <w:numPr>
          <w:ilvl w:val="0"/>
          <w:numId w:val="1006"/>
        </w:numPr>
        <w:pStyle w:val="Compact"/>
      </w:pPr>
      <w:r>
        <w:rPr>
          <w:b/>
        </w:rPr>
        <w:t xml:space="preserve">Maritimisation (our extension of T-axis):</w:t>
      </w:r>
      <w:r>
        <w:t xml:space="preserve"> </w:t>
      </w:r>
      <w:r>
        <w:t xml:space="preserve">The techno-economic and institutional</w:t>
      </w:r>
      <w:r>
        <w:t xml:space="preserve"> </w:t>
      </w:r>
      <w:r>
        <w:t xml:space="preserve">“</w:t>
      </w:r>
      <w:r>
        <w:t xml:space="preserve">terraforming</w:t>
      </w:r>
      <w:r>
        <w:t xml:space="preserve">”</w:t>
      </w:r>
      <w:r>
        <w:t xml:space="preserve"> </w:t>
      </w:r>
      <w:r>
        <w:t xml:space="preserve">of the sea—ports, fleets, grids, MSP, property regimes—that translates marine constraints into actionable infrastructures.</w:t>
      </w:r>
    </w:p>
    <w:p>
      <w:pPr>
        <w:numPr>
          <w:ilvl w:val="0"/>
          <w:numId w:val="1006"/>
        </w:numPr>
        <w:pStyle w:val="Compact"/>
      </w:pPr>
      <w:r>
        <w:rPr>
          <w:b/>
        </w:rPr>
        <w:t xml:space="preserve">Oceanisation (our O-axis):</w:t>
      </w:r>
      <w:r>
        <w:t xml:space="preserve"> </w:t>
      </w:r>
      <w:r>
        <w:t xml:space="preserve">The planetary-scale reconnection and governance integration that treats the ocean as a coupled socio-ecological system requiring hydrosocial literacy, cross-border cooperation, and transcorporeal responsibility.</w:t>
      </w:r>
    </w:p>
    <w:p>
      <w:pPr>
        <w:pStyle w:val="FirstParagraph"/>
      </w:pPr>
      <w:r>
        <w:t xml:space="preserve">The shift from Marinization to Oceanization is not a rejection but an</w:t>
      </w:r>
      <w:r>
        <w:t xml:space="preserve"> </w:t>
      </w:r>
      <w:r>
        <w:rPr>
          <w:i/>
        </w:rPr>
        <w:t xml:space="preserve">Anthropocene upgrade</w:t>
      </w:r>
      <w:r>
        <w:t xml:space="preserve">: it retains the semi-deterministic engine while adding the reflexive, scalar, and justice-oriented capacities necessary for sustainable blue governance in the 21st century.</w:t>
      </w:r>
    </w:p>
    <w:p>
      <w:r>
        <w:pict>
          <v:rect style="width:0;height:1.5pt" o:hralign="center" o:hrstd="t" o:hr="t"/>
        </w:pict>
      </w:r>
    </w:p>
    <w:p>
      <w:pPr>
        <w:pStyle w:val="Nagwek2"/>
      </w:pPr>
      <w:bookmarkStart w:id="29" w:name="Xafc8c390f09c07d258da7f33503e79b3d2e9f32"/>
      <w:r>
        <w:t xml:space="preserve">3. The TMBD Framework: Axes, Cycles, and the Blue Value Logic-Matrix</w:t>
      </w:r>
      <w:bookmarkEnd w:id="29"/>
    </w:p>
    <w:p>
      <w:pPr>
        <w:pStyle w:val="Nagwek3"/>
      </w:pPr>
      <w:bookmarkStart w:id="30" w:name="the-three-axes-in-detail"/>
      <w:r>
        <w:t xml:space="preserve">3.1 The Three Axes in Detail</w:t>
      </w:r>
      <w:bookmarkEnd w:id="30"/>
    </w:p>
    <w:p>
      <w:pPr>
        <w:pStyle w:val="Nagwek4"/>
      </w:pPr>
      <w:bookmarkStart w:id="31" w:name="X952ee99d454261a54d59d57b13a7650875d0369"/>
      <w:r>
        <w:t xml:space="preserve">3.1.1 Axis 1 — MARINE Factor (M): Biophysical / Ecological Involuntary Agency</w:t>
      </w:r>
      <w:bookmarkEnd w:id="31"/>
    </w:p>
    <w:p>
      <w:pPr>
        <w:pStyle w:val="FirstParagraph"/>
      </w:pPr>
      <w:r>
        <w:t xml:space="preserve">The Marine axis represents the ocean as a</w:t>
      </w:r>
      <w:r>
        <w:t xml:space="preserve"> </w:t>
      </w:r>
      <w:r>
        <w:rPr>
          <w:b/>
        </w:rPr>
        <w:t xml:space="preserve">force-field of biophysical agency</w:t>
      </w:r>
      <w:r>
        <w:t xml:space="preserve">. This includes:</w:t>
      </w:r>
    </w:p>
    <w:p>
      <w:pPr>
        <w:numPr>
          <w:ilvl w:val="0"/>
          <w:numId w:val="1007"/>
        </w:numPr>
        <w:pStyle w:val="Compact"/>
      </w:pPr>
      <w:r>
        <w:rPr>
          <w:b/>
        </w:rPr>
        <w:t xml:space="preserve">Physical processes:</w:t>
      </w:r>
      <w:r>
        <w:t xml:space="preserve"> </w:t>
      </w:r>
      <w:r>
        <w:t xml:space="preserve">Tides, currents, thermohaline circulation, wave energy, bathymetry.</w:t>
      </w:r>
    </w:p>
    <w:p>
      <w:pPr>
        <w:numPr>
          <w:ilvl w:val="0"/>
          <w:numId w:val="1007"/>
        </w:numPr>
        <w:pStyle w:val="Compact"/>
      </w:pPr>
      <w:r>
        <w:rPr>
          <w:b/>
        </w:rPr>
        <w:t xml:space="preserve">Climate coupling:</w:t>
      </w:r>
      <w:r>
        <w:t xml:space="preserve"> </w:t>
      </w:r>
      <w:r>
        <w:t xml:space="preserve">Ocean-atmosphere heat exchange, carbon sequestration, sea-level dynamics.</w:t>
      </w:r>
    </w:p>
    <w:p>
      <w:pPr>
        <w:numPr>
          <w:ilvl w:val="0"/>
          <w:numId w:val="1007"/>
        </w:numPr>
        <w:pStyle w:val="Compact"/>
      </w:pPr>
      <w:r>
        <w:rPr>
          <w:b/>
        </w:rPr>
        <w:t xml:space="preserve">Biodiversity metabolism:</w:t>
      </w:r>
      <w:r>
        <w:t xml:space="preserve"> </w:t>
      </w:r>
      <w:r>
        <w:t xml:space="preserve">Primary production, trophic webs, nutrient cycling, habitat provision.</w:t>
      </w:r>
    </w:p>
    <w:p>
      <w:pPr>
        <w:numPr>
          <w:ilvl w:val="0"/>
          <w:numId w:val="1007"/>
        </w:numPr>
        <w:pStyle w:val="Compact"/>
      </w:pPr>
      <w:r>
        <w:rPr>
          <w:b/>
        </w:rPr>
        <w:t xml:space="preserve">Material limits:</w:t>
      </w:r>
      <w:r>
        <w:t xml:space="preserve"> </w:t>
      </w:r>
      <w:r>
        <w:t xml:space="preserve">Assimilative capacity for pollutants, carrying capacity for extraction, resilience thresholds.</w:t>
      </w:r>
    </w:p>
    <w:p>
      <w:pPr>
        <w:pStyle w:val="FirstParagraph"/>
      </w:pPr>
      <w:r>
        <w:t xml:space="preserve">The Marine factor is</w:t>
      </w:r>
      <w:r>
        <w:t xml:space="preserve"> </w:t>
      </w:r>
      <w:r>
        <w:t xml:space="preserve">“</w:t>
      </w:r>
      <w:r>
        <w:t xml:space="preserve">involuntary</w:t>
      </w:r>
      <w:r>
        <w:t xml:space="preserve">”</w:t>
      </w:r>
      <w:r>
        <w:t xml:space="preserve"> </w:t>
      </w:r>
      <w:r>
        <w:t xml:space="preserve">in the sense that these processes operate according to biophysical laws, not human intention—though human activity can trigger cascades (e.g., warming → acidification → coral bleaching → fishery collapse). The M-axis thus sets the</w:t>
      </w:r>
      <w:r>
        <w:t xml:space="preserve"> </w:t>
      </w:r>
      <w:r>
        <w:rPr>
          <w:b/>
        </w:rPr>
        <w:t xml:space="preserve">boundary conditions</w:t>
      </w:r>
      <w:r>
        <w:t xml:space="preserve"> </w:t>
      </w:r>
      <w:r>
        <w:t xml:space="preserve">for sustainable blue development.</w:t>
      </w:r>
    </w:p>
    <w:p>
      <w:pPr>
        <w:pStyle w:val="Nagwek4"/>
      </w:pPr>
      <w:bookmarkStart w:id="32" w:name="X32e6f5f8009746c88c073ae0f1d7ce8db6b9717"/>
      <w:r>
        <w:t xml:space="preserve">3.1.2 Axis 2 — MARITIME Factor (T): Techno-Economic / Institutional / Infrastructural / Digital Agency</w:t>
      </w:r>
      <w:bookmarkEnd w:id="32"/>
    </w:p>
    <w:p>
      <w:pPr>
        <w:pStyle w:val="FirstParagraph"/>
      </w:pPr>
      <w:r>
        <w:t xml:space="preserve">The Maritime axis captures</w:t>
      </w:r>
      <w:r>
        <w:t xml:space="preserve"> </w:t>
      </w:r>
      <w:r>
        <w:t xml:space="preserve">“</w:t>
      </w:r>
      <w:r>
        <w:t xml:space="preserve">humans terraforming the sea</w:t>
      </w:r>
      <w:r>
        <w:t xml:space="preserve">”</w:t>
      </w:r>
      <w:r>
        <w:t xml:space="preserve">—the ensemble of technologies, institutions, and infrastructures through which societies translate marine constraints into actionable systems:</w:t>
      </w:r>
    </w:p>
    <w:p>
      <w:pPr>
        <w:numPr>
          <w:ilvl w:val="0"/>
          <w:numId w:val="1008"/>
        </w:numPr>
        <w:pStyle w:val="Compact"/>
      </w:pPr>
      <w:r>
        <w:rPr>
          <w:b/>
        </w:rPr>
        <w:t xml:space="preserve">Infrastructures:</w:t>
      </w:r>
      <w:r>
        <w:t xml:space="preserve"> </w:t>
      </w:r>
      <w:r>
        <w:t xml:space="preserve">Ports, offshore platforms, subsea cables, wind farms, aquaculture installations.</w:t>
      </w:r>
    </w:p>
    <w:p>
      <w:pPr>
        <w:numPr>
          <w:ilvl w:val="0"/>
          <w:numId w:val="1008"/>
        </w:numPr>
        <w:pStyle w:val="Compact"/>
      </w:pPr>
      <w:r>
        <w:rPr>
          <w:b/>
        </w:rPr>
        <w:t xml:space="preserve">Technologies:</w:t>
      </w:r>
      <w:r>
        <w:t xml:space="preserve"> </w:t>
      </w:r>
      <w:r>
        <w:t xml:space="preserve">Vessels, sensors, autonomous systems, data analytics, biotechnologies.</w:t>
      </w:r>
    </w:p>
    <w:p>
      <w:pPr>
        <w:numPr>
          <w:ilvl w:val="0"/>
          <w:numId w:val="1008"/>
        </w:numPr>
        <w:pStyle w:val="Compact"/>
      </w:pPr>
      <w:r>
        <w:rPr>
          <w:b/>
        </w:rPr>
        <w:t xml:space="preserve">Institutions:</w:t>
      </w:r>
      <w:r>
        <w:t xml:space="preserve"> </w:t>
      </w:r>
      <w:r>
        <w:t xml:space="preserve">Marine Spatial Planning (MSP), fisheries management regimes, port authorities, maritime labor unions, insurance and finance systems.</w:t>
      </w:r>
    </w:p>
    <w:p>
      <w:pPr>
        <w:numPr>
          <w:ilvl w:val="0"/>
          <w:numId w:val="1008"/>
        </w:numPr>
        <w:pStyle w:val="Compact"/>
      </w:pPr>
      <w:r>
        <w:rPr>
          <w:b/>
        </w:rPr>
        <w:t xml:space="preserve">Property regimes:</w:t>
      </w:r>
      <w:r>
        <w:t xml:space="preserve"> </w:t>
      </w:r>
      <w:r>
        <w:t xml:space="preserve">Exclusive Economic Zones (EEZs), concessions, licenses, commons arrangements.</w:t>
      </w:r>
    </w:p>
    <w:p>
      <w:pPr>
        <w:numPr>
          <w:ilvl w:val="0"/>
          <w:numId w:val="1008"/>
        </w:numPr>
        <w:pStyle w:val="Compact"/>
      </w:pPr>
      <w:r>
        <w:rPr>
          <w:b/>
        </w:rPr>
        <w:t xml:space="preserve">Digital layers:</w:t>
      </w:r>
      <w:r>
        <w:t xml:space="preserve"> </w:t>
      </w:r>
      <w:r>
        <w:t xml:space="preserve">Ocean observation networks, satellite monitoring, digital twins, predictive models.</w:t>
      </w:r>
    </w:p>
    <w:p>
      <w:pPr>
        <w:pStyle w:val="FirstParagraph"/>
      </w:pPr>
      <w:r>
        <w:t xml:space="preserve">The Maritime factor is where</w:t>
      </w:r>
      <w:r>
        <w:t xml:space="preserve"> </w:t>
      </w:r>
      <w:r>
        <w:rPr>
          <w:b/>
        </w:rPr>
        <w:t xml:space="preserve">human agency</w:t>
      </w:r>
      <w:r>
        <w:t xml:space="preserve"> </w:t>
      </w:r>
      <w:r>
        <w:t xml:space="preserve">is most visible and contested. It is the domain of economic growth, innovation, employment, and also of displacement, pollution, and enclosure. The T-axis thus embodies the</w:t>
      </w:r>
      <w:r>
        <w:t xml:space="preserve"> </w:t>
      </w:r>
      <w:r>
        <w:rPr>
          <w:b/>
        </w:rPr>
        <w:t xml:space="preserve">socio-technical capacity</w:t>
      </w:r>
      <w:r>
        <w:t xml:space="preserve"> </w:t>
      </w:r>
      <w:r>
        <w:t xml:space="preserve">for blue development.</w:t>
      </w:r>
    </w:p>
    <w:p>
      <w:pPr>
        <w:pStyle w:val="Nagwek4"/>
      </w:pPr>
      <w:bookmarkStart w:id="33" w:name="X6528da177fdeb330027c283b31aa996205c4cf9"/>
      <w:r>
        <w:t xml:space="preserve">3.1.3 Axis 3 — OCEANIC Factor (O): Integrative Hydrosocial / Ontological / Planetary Governance Dimension</w:t>
      </w:r>
      <w:bookmarkEnd w:id="33"/>
    </w:p>
    <w:p>
      <w:pPr>
        <w:pStyle w:val="FirstParagraph"/>
      </w:pPr>
      <w:r>
        <w:t xml:space="preserve">The Oceanic axis integrates M and T at planetary scale through three interrelated capacities:</w:t>
      </w:r>
    </w:p>
    <w:p>
      <w:pPr>
        <w:numPr>
          <w:ilvl w:val="0"/>
          <w:numId w:val="1009"/>
        </w:numPr>
        <w:pStyle w:val="Compact"/>
      </w:pPr>
      <w:r>
        <w:rPr>
          <w:b/>
        </w:rPr>
        <w:t xml:space="preserve">Ocean literacy and hydrosocial subjectivity:</w:t>
      </w:r>
      <w:r>
        <w:t xml:space="preserve"> </w:t>
      </w:r>
      <w:r>
        <w:t xml:space="preserve">The societal competence to understand ocean–society coupling and to act on that understanding (UNESCO, 2023). This includes scientific knowledge, cultural connection, and political will.</w:t>
      </w:r>
    </w:p>
    <w:p>
      <w:pPr>
        <w:numPr>
          <w:ilvl w:val="0"/>
          <w:numId w:val="1009"/>
        </w:numPr>
        <w:pStyle w:val="Compact"/>
      </w:pPr>
      <w:r>
        <w:rPr>
          <w:b/>
        </w:rPr>
        <w:t xml:space="preserve">Planetary governance architectures:</w:t>
      </w:r>
      <w:r>
        <w:t xml:space="preserve"> </w:t>
      </w:r>
      <w:r>
        <w:t xml:space="preserve">Treaties (UNCLOS, BBNJ), conventions (CBD, UNFCCC), regional sea programs, and polycentric governance networks that coordinate action across jurisdictions.</w:t>
      </w:r>
    </w:p>
    <w:p>
      <w:pPr>
        <w:numPr>
          <w:ilvl w:val="0"/>
          <w:numId w:val="1009"/>
        </w:numPr>
        <w:pStyle w:val="Compact"/>
      </w:pPr>
      <w:r>
        <w:rPr>
          <w:b/>
        </w:rPr>
        <w:t xml:space="preserve">Ontological recognition and procedural justice:</w:t>
      </w:r>
      <w:r>
        <w:t xml:space="preserve"> </w:t>
      </w:r>
      <w:r>
        <w:t xml:space="preserve">Mechanisms that acknowledge the ocean’s agency and intrinsic value, including rights-of-nature frameworks, benefit-sharing arrangements, and participatory processes that give voice to marginalized communities, non-humans, and future generations.</w:t>
      </w:r>
    </w:p>
    <w:p>
      <w:pPr>
        <w:pStyle w:val="FirstParagraph"/>
      </w:pPr>
      <w:r>
        <w:t xml:space="preserve">The Oceanic factor is the</w:t>
      </w:r>
      <w:r>
        <w:t xml:space="preserve"> </w:t>
      </w:r>
      <w:r>
        <w:rPr>
          <w:b/>
        </w:rPr>
        <w:t xml:space="preserve">reflexive and normative layer</w:t>
      </w:r>
      <w:r>
        <w:t xml:space="preserve"> </w:t>
      </w:r>
      <w:r>
        <w:t xml:space="preserve">that determines whether maritime expansion respects marine thresholds and whether the resulting Blue Value is justly distributed. The O-axis thus provides the</w:t>
      </w:r>
      <w:r>
        <w:t xml:space="preserve"> </w:t>
      </w:r>
      <w:r>
        <w:rPr>
          <w:b/>
        </w:rPr>
        <w:t xml:space="preserve">legitimacy and coordination infrastructure</w:t>
      </w:r>
      <w:r>
        <w:t xml:space="preserve"> </w:t>
      </w:r>
      <w:r>
        <w:t xml:space="preserve">for sustainable blue governance.</w:t>
      </w:r>
    </w:p>
    <w:p>
      <w:pPr>
        <w:pStyle w:val="Nagwek3"/>
      </w:pPr>
      <w:bookmarkStart w:id="34" w:name="domain-cycles-de-re-trans-in-each-axis"/>
      <w:r>
        <w:t xml:space="preserve">3.2 Domain Cycles: De– / Re– / Trans– in Each Axis</w:t>
      </w:r>
      <w:bookmarkEnd w:id="34"/>
    </w:p>
    <w:p>
      <w:pPr>
        <w:pStyle w:val="FirstParagraph"/>
      </w:pPr>
      <w:r>
        <w:t xml:space="preserve">Each axis can undergo three types of transformation, creating a 3×3 matrix of possible trajectories. The normative backbone of these transitions is articulated in the European Ocean Pact and related global commitments:</w:t>
      </w:r>
      <w:r>
        <w:t xml:space="preserve"> </w:t>
      </w:r>
      <w:r>
        <w:t xml:space="preserve">“</w:t>
      </w:r>
      <w:r>
        <w:t xml:space="preserve">Leaders undertook to work together to put a stop to the degradation of the Oceans, preserve biodiversity, stop overexploitation, fight pollution and mitigate climate change</w:t>
      </w:r>
      <w:r>
        <w:t xml:space="preserve">”</w:t>
      </w:r>
      <w:r>
        <w:t xml:space="preserve"> </w:t>
      </w:r>
      <w:r>
        <w:t xml:space="preserve">(European Commission, 2025). The</w:t>
      </w:r>
      <w:r>
        <w:t xml:space="preserve"> </w:t>
      </w:r>
      <w:r>
        <w:t xml:space="preserve">“</w:t>
      </w:r>
      <w:r>
        <w:t xml:space="preserve">Trans-</w:t>
      </w:r>
      <w:r>
        <w:t xml:space="preserve">”</w:t>
      </w:r>
      <w:r>
        <w:t xml:space="preserve"> </w:t>
      </w:r>
      <w:r>
        <w:t xml:space="preserve">category adds our requirement:</w:t>
      </w:r>
      <w:r>
        <w:t xml:space="preserve"> </w:t>
      </w:r>
      <w:r>
        <w:rPr>
          <w:i/>
        </w:rPr>
        <w:t xml:space="preserve">just-inclusive-solidary collaborative cohabitation</w:t>
      </w:r>
      <w:r>
        <w:t xml:space="preserve"> </w:t>
      </w:r>
      <w:r>
        <w:t xml:space="preserve">as the governance form that prevents</w:t>
      </w:r>
      <w:r>
        <w:t xml:space="preserve"> </w:t>
      </w:r>
      <w:r>
        <w:t xml:space="preserve">“</w:t>
      </w:r>
      <w:r>
        <w:t xml:space="preserve">Re-</w:t>
      </w:r>
      <w:r>
        <w:t xml:space="preserve">”</w:t>
      </w:r>
      <w:r>
        <w:t xml:space="preserve"> </w:t>
      </w:r>
      <w:r>
        <w:t xml:space="preserve">from becoming a new enclosure.</w:t>
      </w:r>
    </w:p>
    <w:p>
      <w:pPr>
        <w:pStyle w:val="Nagwek4"/>
      </w:pPr>
      <w:bookmarkStart w:id="35" w:name="marine-domain-m-marinisation"/>
      <w:r>
        <w:t xml:space="preserve">3.2.1 MARINE Domain (M): Marinisation</w:t>
      </w:r>
      <w:bookmarkEnd w:id="35"/>
    </w:p>
    <w:p>
      <w:pPr>
        <w:numPr>
          <w:ilvl w:val="0"/>
          <w:numId w:val="1010"/>
        </w:numPr>
        <w:pStyle w:val="Compact"/>
      </w:pPr>
      <w:r>
        <w:rPr>
          <w:b/>
        </w:rPr>
        <w:t xml:space="preserve">De-marinisation (crisis):</w:t>
      </w:r>
      <w:r>
        <w:t xml:space="preserve"> </w:t>
      </w:r>
      <w:r>
        <w:t xml:space="preserve">Biodiversity collapse, acidification, hypoxia, pollution—i.e., the ocean’s life-support functions degrade, raising constraints on all blue sectors.</w:t>
      </w:r>
      <w:r>
        <w:t xml:space="preserve"> </w:t>
      </w:r>
      <w:r>
        <w:rPr>
          <w:b/>
        </w:rPr>
        <w:t xml:space="preserve">Governance risk:</w:t>
      </w:r>
      <w:r>
        <w:t xml:space="preserve"> </w:t>
      </w:r>
      <w:r>
        <w:t xml:space="preserve">“</w:t>
      </w:r>
      <w:r>
        <w:t xml:space="preserve">Aqua nullius</w:t>
      </w:r>
      <w:r>
        <w:t xml:space="preserve">”</w:t>
      </w:r>
      <w:r>
        <w:t xml:space="preserve"> </w:t>
      </w:r>
      <w:r>
        <w:t xml:space="preserve">treatment of the ocean as an infinite sink.</w:t>
      </w:r>
    </w:p>
    <w:p>
      <w:pPr>
        <w:numPr>
          <w:ilvl w:val="0"/>
          <w:numId w:val="1010"/>
        </w:numPr>
        <w:pStyle w:val="Compact"/>
      </w:pPr>
      <w:r>
        <w:rPr>
          <w:b/>
        </w:rPr>
        <w:t xml:space="preserve">Re-marinisation (regeneration):</w:t>
      </w:r>
      <w:r>
        <w:t xml:space="preserve"> </w:t>
      </w:r>
      <w:r>
        <w:t xml:space="preserve">Restoration of habitats (mangroves, seagrass, coral), expansion of Marine Protected Areas (MPAs), reduction of pressures (overfishing, pollution), enhancement of blue carbon sequestration.</w:t>
      </w:r>
      <w:r>
        <w:t xml:space="preserve"> </w:t>
      </w:r>
      <w:r>
        <w:rPr>
          <w:b/>
        </w:rPr>
        <w:t xml:space="preserve">Policy hook:</w:t>
      </w:r>
      <w:r>
        <w:t xml:space="preserve"> </w:t>
      </w:r>
      <w:r>
        <w:t xml:space="preserve">“</w:t>
      </w:r>
      <w:r>
        <w:t xml:space="preserve">Protecting and restoring ocean health</w:t>
      </w:r>
      <w:r>
        <w:t xml:space="preserve">”</w:t>
      </w:r>
      <w:r>
        <w:t xml:space="preserve"> </w:t>
      </w:r>
      <w:r>
        <w:t xml:space="preserve">(European Ocean Pact Priority 1).</w:t>
      </w:r>
    </w:p>
    <w:p>
      <w:pPr>
        <w:numPr>
          <w:ilvl w:val="0"/>
          <w:numId w:val="1010"/>
        </w:numPr>
        <w:pStyle w:val="Compact"/>
      </w:pPr>
      <w:r>
        <w:rPr>
          <w:b/>
        </w:rPr>
        <w:t xml:space="preserve">Trans-corporeal marinisation (entanglement intensifies):</w:t>
      </w:r>
      <w:r>
        <w:t xml:space="preserve"> </w:t>
      </w:r>
      <w:r>
        <w:t xml:space="preserve">Marine processes materially traverse bodies and territories (water cycle, humidity, toxins, microplastics, pathogens), turning</w:t>
      </w:r>
      <w:r>
        <w:t xml:space="preserve"> </w:t>
      </w:r>
      <w:r>
        <w:t xml:space="preserve">“</w:t>
      </w:r>
      <w:r>
        <w:t xml:space="preserve">externalities</w:t>
      </w:r>
      <w:r>
        <w:t xml:space="preserve">”</w:t>
      </w:r>
      <w:r>
        <w:t xml:space="preserve"> </w:t>
      </w:r>
      <w:r>
        <w:t xml:space="preserve">into</w:t>
      </w:r>
      <w:r>
        <w:t xml:space="preserve"> </w:t>
      </w:r>
      <w:r>
        <w:rPr>
          <w:b/>
        </w:rPr>
        <w:t xml:space="preserve">internal</w:t>
      </w:r>
      <w:r>
        <w:t xml:space="preserve"> </w:t>
      </w:r>
      <w:r>
        <w:t xml:space="preserve">social facts. This demands enforceable safeguards and the internalization of transcorporeal exposure into policy and markets.</w:t>
      </w:r>
      <w:r>
        <w:t xml:space="preserve"> </w:t>
      </w:r>
      <w:r>
        <w:rPr>
          <w:b/>
        </w:rPr>
        <w:t xml:space="preserve">Knowledge hook:</w:t>
      </w:r>
      <w:r>
        <w:t xml:space="preserve"> </w:t>
      </w:r>
      <w:r>
        <w:t xml:space="preserve">Ocean literacy as societal competence (UNESCO, 2023).</w:t>
      </w:r>
    </w:p>
    <w:p>
      <w:pPr>
        <w:pStyle w:val="Nagwek4"/>
      </w:pPr>
      <w:bookmarkStart w:id="36" w:name="maritime-domain-t-maritimisation"/>
      <w:r>
        <w:t xml:space="preserve">3.2.2 MARITIME Domain (T): Maritimisation</w:t>
      </w:r>
      <w:bookmarkEnd w:id="36"/>
    </w:p>
    <w:p>
      <w:pPr>
        <w:numPr>
          <w:ilvl w:val="0"/>
          <w:numId w:val="1011"/>
        </w:numPr>
        <w:pStyle w:val="Compact"/>
      </w:pPr>
      <w:r>
        <w:rPr>
          <w:b/>
        </w:rPr>
        <w:t xml:space="preserve">De-maritimisation (loss):</w:t>
      </w:r>
      <w:r>
        <w:t xml:space="preserve"> </w:t>
      </w:r>
      <w:r>
        <w:t xml:space="preserve">Decline of maritime occupational communities, waterfront displacement (gentrification, tourism monocultures), skill erosion, rusting infrastructures, legitimacy crises around new</w:t>
      </w:r>
      <w:r>
        <w:t xml:space="preserve"> </w:t>
      </w:r>
      <w:r>
        <w:t xml:space="preserve">“</w:t>
      </w:r>
      <w:r>
        <w:t xml:space="preserve">blue</w:t>
      </w:r>
      <w:r>
        <w:t xml:space="preserve">”</w:t>
      </w:r>
      <w:r>
        <w:t xml:space="preserve"> </w:t>
      </w:r>
      <w:r>
        <w:t xml:space="preserve">projects (offshore wind, aquaculture) that exclude local stakeholders.</w:t>
      </w:r>
    </w:p>
    <w:p>
      <w:pPr>
        <w:numPr>
          <w:ilvl w:val="0"/>
          <w:numId w:val="1011"/>
        </w:numPr>
        <w:pStyle w:val="Compact"/>
      </w:pPr>
      <w:r>
        <w:rPr>
          <w:b/>
        </w:rPr>
        <w:t xml:space="preserve">Re-maritimisation (renewal):</w:t>
      </w:r>
      <w:r>
        <w:t xml:space="preserve"> </w:t>
      </w:r>
      <w:r>
        <w:t xml:space="preserve">Creation of dignified sustainable blue jobs, fair transitions for declining sectors (e.g., fossil-fuel-dependent ports), institutional pathways that prioritize community benefit and low-impact sectors.</w:t>
      </w:r>
      <w:r>
        <w:t xml:space="preserve"> </w:t>
      </w:r>
      <w:r>
        <w:rPr>
          <w:b/>
        </w:rPr>
        <w:t xml:space="preserve">Policy hook:</w:t>
      </w:r>
      <w:r>
        <w:t xml:space="preserve"> </w:t>
      </w:r>
      <w:r>
        <w:t xml:space="preserve">“</w:t>
      </w:r>
      <w:r>
        <w:t xml:space="preserve">Boosting competitiveness of the EU sustainable blue economy</w:t>
      </w:r>
      <w:r>
        <w:t xml:space="preserve">”</w:t>
      </w:r>
      <w:r>
        <w:t xml:space="preserve"> </w:t>
      </w:r>
      <w:r>
        <w:t xml:space="preserve">and</w:t>
      </w:r>
      <w:r>
        <w:t xml:space="preserve"> </w:t>
      </w:r>
      <w:r>
        <w:t xml:space="preserve">“</w:t>
      </w:r>
      <w:r>
        <w:t xml:space="preserve">supporting coastal communities</w:t>
      </w:r>
      <w:r>
        <w:t xml:space="preserve">”</w:t>
      </w:r>
      <w:r>
        <w:t xml:space="preserve"> </w:t>
      </w:r>
      <w:r>
        <w:t xml:space="preserve">(European Ocean Pact Priorities 2 and 3).</w:t>
      </w:r>
    </w:p>
    <w:p>
      <w:pPr>
        <w:numPr>
          <w:ilvl w:val="0"/>
          <w:numId w:val="1011"/>
        </w:numPr>
        <w:pStyle w:val="Compact"/>
      </w:pPr>
      <w:r>
        <w:rPr>
          <w:b/>
        </w:rPr>
        <w:t xml:space="preserve">Trans-corporate maritimisation (restraint + representation):</w:t>
      </w:r>
      <w:r>
        <w:t xml:space="preserve"> </w:t>
      </w:r>
      <w:r>
        <w:t xml:space="preserve">Institutions that</w:t>
      </w:r>
      <w:r>
        <w:t xml:space="preserve"> </w:t>
      </w:r>
      <w:r>
        <w:t xml:space="preserve">“</w:t>
      </w:r>
      <w:r>
        <w:t xml:space="preserve">give voice</w:t>
      </w:r>
      <w:r>
        <w:t xml:space="preserve">”</w:t>
      </w:r>
      <w:r>
        <w:t xml:space="preserve"> </w:t>
      </w:r>
      <w:r>
        <w:t xml:space="preserve">to non-humans and future generations through procedural justice mechanisms (participatory MSP, benefit-sharing, rights-of-nature-like logics), enforceable self-restraint (e.g., EIA triggers, precautionary thresholds), and governance that prevents</w:t>
      </w:r>
      <w:r>
        <w:t xml:space="preserve"> </w:t>
      </w:r>
      <w:r>
        <w:t xml:space="preserve">“</w:t>
      </w:r>
      <w:r>
        <w:t xml:space="preserve">green</w:t>
      </w:r>
      <w:r>
        <w:t xml:space="preserve">”</w:t>
      </w:r>
      <w:r>
        <w:t xml:space="preserve"> </w:t>
      </w:r>
      <w:r>
        <w:t xml:space="preserve">or</w:t>
      </w:r>
      <w:r>
        <w:t xml:space="preserve"> </w:t>
      </w:r>
      <w:r>
        <w:t xml:space="preserve">“</w:t>
      </w:r>
      <w:r>
        <w:t xml:space="preserve">blue</w:t>
      </w:r>
      <w:r>
        <w:t xml:space="preserve">”</w:t>
      </w:r>
      <w:r>
        <w:t xml:space="preserve"> </w:t>
      </w:r>
      <w:r>
        <w:t xml:space="preserve">enclosure. This ensures the maritime system self-limits rather than externalizing costs.</w:t>
      </w:r>
    </w:p>
    <w:p>
      <w:pPr>
        <w:pStyle w:val="Nagwek4"/>
      </w:pPr>
      <w:bookmarkStart w:id="37" w:name="oceanic-domain-o-oceanisation"/>
      <w:r>
        <w:t xml:space="preserve">3.2.3 OCEANIC Domain (O): Oceanisation</w:t>
      </w:r>
      <w:bookmarkEnd w:id="37"/>
    </w:p>
    <w:p>
      <w:pPr>
        <w:numPr>
          <w:ilvl w:val="0"/>
          <w:numId w:val="1012"/>
        </w:numPr>
        <w:pStyle w:val="Compact"/>
      </w:pPr>
      <w:r>
        <w:rPr>
          <w:b/>
        </w:rPr>
        <w:t xml:space="preserve">De-oceanisation (severing):</w:t>
      </w:r>
      <w:r>
        <w:t xml:space="preserve"> </w:t>
      </w:r>
      <w:r>
        <w:t xml:space="preserve">Treating the ocean as a spreadsheet sector (GDP, tonnage, MW) disconnected from biophysical and cultural realities; cultural sea-blindness; governance fragmentation across jurisdictions and sectors.</w:t>
      </w:r>
    </w:p>
    <w:p>
      <w:pPr>
        <w:numPr>
          <w:ilvl w:val="0"/>
          <w:numId w:val="1012"/>
        </w:numPr>
        <w:pStyle w:val="Compact"/>
      </w:pPr>
      <w:r>
        <w:rPr>
          <w:b/>
        </w:rPr>
        <w:t xml:space="preserve">Re-oceanisation (reconnection):</w:t>
      </w:r>
      <w:r>
        <w:t xml:space="preserve"> </w:t>
      </w:r>
      <w:r>
        <w:t xml:space="preserve">Ocean literacy programs,</w:t>
      </w:r>
      <w:r>
        <w:t xml:space="preserve"> </w:t>
      </w:r>
      <w:r>
        <w:t xml:space="preserve">“</w:t>
      </w:r>
      <w:r>
        <w:t xml:space="preserve">blue citizenship</w:t>
      </w:r>
      <w:r>
        <w:t xml:space="preserve">”</w:t>
      </w:r>
      <w:r>
        <w:t xml:space="preserve"> </w:t>
      </w:r>
      <w:r>
        <w:t xml:space="preserve">initiatives, and coordinated policy that recognizes the coupled ocean–society system.</w:t>
      </w:r>
      <w:r>
        <w:t xml:space="preserve"> </w:t>
      </w:r>
      <w:r>
        <w:rPr>
          <w:b/>
        </w:rPr>
        <w:t xml:space="preserve">Policy hook:</w:t>
      </w:r>
      <w:r>
        <w:t xml:space="preserve"> </w:t>
      </w:r>
      <w:r>
        <w:t xml:space="preserve">“</w:t>
      </w:r>
      <w:r>
        <w:t xml:space="preserve">One ocean, one strategy</w:t>
      </w:r>
      <w:r>
        <w:t xml:space="preserve">”</w:t>
      </w:r>
      <w:r>
        <w:t xml:space="preserve"> </w:t>
      </w:r>
      <w:r>
        <w:t xml:space="preserve">logic (European Ocean Pact).</w:t>
      </w:r>
    </w:p>
    <w:p>
      <w:pPr>
        <w:numPr>
          <w:ilvl w:val="0"/>
          <w:numId w:val="1012"/>
        </w:numPr>
        <w:pStyle w:val="Compact"/>
      </w:pPr>
      <w:r>
        <w:rPr>
          <w:b/>
        </w:rPr>
        <w:t xml:space="preserve">Trans-oceanisation (planetary cohabitation):</w:t>
      </w:r>
      <w:r>
        <w:t xml:space="preserve"> </w:t>
      </w:r>
      <w:r>
        <w:t xml:space="preserve">ABNJ stewardship through the High Seas Treaty (MPAs, EIAs, benefit-sharing, capacity-building), ocean diplomacy, and data-to-decision infrastructures (e.g., GEO Blue Planet) that make</w:t>
      </w:r>
      <w:r>
        <w:t xml:space="preserve"> </w:t>
      </w:r>
      <w:r>
        <w:t xml:space="preserve">“</w:t>
      </w:r>
      <w:r>
        <w:t xml:space="preserve">one ocean</w:t>
      </w:r>
      <w:r>
        <w:t xml:space="preserve">”</w:t>
      </w:r>
      <w:r>
        <w:t xml:space="preserve"> </w:t>
      </w:r>
      <w:r>
        <w:t xml:space="preserve">governable.</w:t>
      </w:r>
      <w:r>
        <w:t xml:space="preserve"> </w:t>
      </w:r>
      <w:r>
        <w:rPr>
          <w:b/>
        </w:rPr>
        <w:t xml:space="preserve">Concrete instrument:</w:t>
      </w:r>
      <w:r>
        <w:t xml:space="preserve"> </w:t>
      </w:r>
      <w:r>
        <w:t xml:space="preserve">The BBNJ Agreement, which entered into force on 17 January 2026,</w:t>
      </w:r>
      <w:r>
        <w:t xml:space="preserve"> </w:t>
      </w:r>
      <w:r>
        <w:t xml:space="preserve">“</w:t>
      </w:r>
      <w:r>
        <w:t xml:space="preserve">addresses: marine genetic resources, area-based management tools including MPAs, environmental impact assessments, capacity-building and technology transfer</w:t>
      </w:r>
      <w:r>
        <w:t xml:space="preserve">”</w:t>
      </w:r>
      <w:r>
        <w:t xml:space="preserve"> </w:t>
      </w:r>
      <w:r>
        <w:t xml:space="preserve">(IMO, 2026).</w:t>
      </w:r>
    </w:p>
    <w:p>
      <w:pPr>
        <w:pStyle w:val="Nagwek3"/>
      </w:pPr>
      <w:bookmarkStart w:id="38" w:name="X85de4dae6561e2d4e53498db981cfcb9a079185"/>
      <w:r>
        <w:t xml:space="preserve">3.3 The Blue Value Logic-Matrix: A 9-Cell Equilibrium Map</w:t>
      </w:r>
      <w:bookmarkEnd w:id="38"/>
    </w:p>
    <w:p>
      <w:pPr>
        <w:pStyle w:val="FirstParagraph"/>
      </w:pPr>
      <w:r>
        <w:t xml:space="preserve">The complete TMBD framework can be represented as a 3×3 matrix that maps each domain (M, T, O) against each trajectory (De-, Re-, Trans-). Each cell requires</w:t>
      </w:r>
      <w:r>
        <w:t xml:space="preserve"> </w:t>
      </w:r>
      <w:r>
        <w:rPr>
          <w:b/>
        </w:rPr>
        <w:t xml:space="preserve">(a)</w:t>
      </w:r>
      <w:r>
        <w:t xml:space="preserve"> </w:t>
      </w:r>
      <w:r>
        <w:t xml:space="preserve">a biophysical signal (M),</w:t>
      </w:r>
      <w:r>
        <w:t xml:space="preserve"> </w:t>
      </w:r>
      <w:r>
        <w:rPr>
          <w:b/>
        </w:rPr>
        <w:t xml:space="preserve">(b)</w:t>
      </w:r>
      <w:r>
        <w:t xml:space="preserve"> </w:t>
      </w:r>
      <w:r>
        <w:t xml:space="preserve">an institutional response capacity (T), and</w:t>
      </w:r>
      <w:r>
        <w:t xml:space="preserve"> </w:t>
      </w:r>
      <w:r>
        <w:rPr>
          <w:b/>
        </w:rPr>
        <w:t xml:space="preserve">(c)</w:t>
      </w:r>
      <w:r>
        <w:t xml:space="preserve"> </w:t>
      </w:r>
      <w:r>
        <w:t xml:space="preserve">an oceanic knowledge/legitimacy settlement (O). This is what makes</w:t>
      </w:r>
      <w:r>
        <w:t xml:space="preserve"> </w:t>
      </w:r>
      <w:r>
        <w:t xml:space="preserve">“</w:t>
      </w:r>
      <w:r>
        <w:t xml:space="preserve">value</w:t>
      </w:r>
      <w:r>
        <w:t xml:space="preserve">”</w:t>
      </w:r>
      <w:r>
        <w:t xml:space="preserve"> </w:t>
      </w:r>
      <w:r>
        <w:t xml:space="preserve">sustainable rather than extractive.</w:t>
      </w:r>
    </w:p>
    <w:p>
      <w:pPr>
        <w:pStyle w:val="BodyText"/>
      </w:pPr>
      <w:r>
        <w:rPr>
          <w:b/>
        </w:rPr>
        <w:t xml:space="preserve">Table 1: Blue Value Logic-Matrix (Domains × Trajectories)</w:t>
      </w:r>
    </w:p>
    <w:tbl>
      <w:tblPr>
        <w:tblStyle w:val="Table"/>
        <w:tblW w:type="pct" w:w="5000.0"/>
        <w:tblLook w:firstRow="1"/>
      </w:tblPr>
      <w:tblGrid>
        <w:gridCol w:w="1196"/>
        <w:gridCol w:w="1481"/>
        <w:gridCol w:w="1937"/>
        <w:gridCol w:w="3304"/>
      </w:tblGrid>
      <w:tr>
        <w:trPr>
          <w:cnfStyle w:firstRow="1"/>
        </w:trPr>
        <w:tc>
          <w:tcPr>
            <w:tcBorders>
              <w:bottom w:val="single"/>
            </w:tcBorders>
            <w:vAlign w:val="bottom"/>
          </w:tcPr>
          <w:p>
            <w:pPr>
              <w:pStyle w:val="Compact"/>
              <w:jc w:val="left"/>
            </w:pPr>
            <w:r>
              <w:rPr>
                <w:b/>
              </w:rPr>
              <w:t xml:space="preserve">Domain (Factor)</w:t>
            </w:r>
          </w:p>
        </w:tc>
        <w:tc>
          <w:tcPr>
            <w:tcBorders>
              <w:bottom w:val="single"/>
            </w:tcBorders>
            <w:vAlign w:val="bottom"/>
          </w:tcPr>
          <w:p>
            <w:pPr>
              <w:pStyle w:val="Compact"/>
              <w:jc w:val="left"/>
            </w:pPr>
            <w:r>
              <w:rPr>
                <w:b/>
              </w:rPr>
              <w:t xml:space="preserve">DE-</w:t>
            </w:r>
            <w:r>
              <w:t xml:space="preserve"> </w:t>
            </w:r>
            <w:r>
              <w:t xml:space="preserve">(erosion / loss)</w:t>
            </w:r>
          </w:p>
        </w:tc>
        <w:tc>
          <w:tcPr>
            <w:tcBorders>
              <w:bottom w:val="single"/>
            </w:tcBorders>
            <w:vAlign w:val="bottom"/>
          </w:tcPr>
          <w:p>
            <w:pPr>
              <w:pStyle w:val="Compact"/>
              <w:jc w:val="left"/>
            </w:pPr>
            <w:r>
              <w:rPr>
                <w:b/>
              </w:rPr>
              <w:t xml:space="preserve">RE-</w:t>
            </w:r>
            <w:r>
              <w:t xml:space="preserve"> </w:t>
            </w:r>
            <w:r>
              <w:t xml:space="preserve">(regeneration / renewal)</w:t>
            </w:r>
          </w:p>
        </w:tc>
        <w:tc>
          <w:tcPr>
            <w:tcBorders>
              <w:bottom w:val="single"/>
            </w:tcBorders>
            <w:vAlign w:val="bottom"/>
          </w:tcPr>
          <w:p>
            <w:pPr>
              <w:pStyle w:val="Compact"/>
              <w:jc w:val="left"/>
            </w:pPr>
            <w:r>
              <w:rPr>
                <w:b/>
              </w:rPr>
              <w:t xml:space="preserve">TRANS-</w:t>
            </w:r>
            <w:r>
              <w:t xml:space="preserve"> </w:t>
            </w:r>
            <w:r>
              <w:t xml:space="preserve">(just cohabitation / entanglement-governance)</w:t>
            </w:r>
          </w:p>
        </w:tc>
      </w:tr>
      <w:tr>
        <w:tc>
          <w:p>
            <w:pPr>
              <w:pStyle w:val="Compact"/>
              <w:jc w:val="left"/>
            </w:pPr>
            <w:r>
              <w:rPr>
                <w:b/>
              </w:rPr>
              <w:t xml:space="preserve">MARINE (M)</w:t>
            </w:r>
          </w:p>
        </w:tc>
        <w:tc>
          <w:p>
            <w:pPr>
              <w:pStyle w:val="Compact"/>
              <w:jc w:val="left"/>
            </w:pPr>
            <w:r>
              <w:rPr>
                <w:b/>
              </w:rPr>
              <w:t xml:space="preserve">Blue value loss:</w:t>
            </w:r>
            <w:r>
              <w:t xml:space="preserve"> </w:t>
            </w:r>
            <w:r>
              <w:t xml:space="preserve">Collapsing natural capital; rising hazards; metabolic breakdowns.</w:t>
            </w:r>
            <w:r>
              <w:t xml:space="preserve"> </w:t>
            </w:r>
            <w:r>
              <w:rPr>
                <w:b/>
              </w:rPr>
              <w:t xml:space="preserve">Governance risk:</w:t>
            </w:r>
            <w:r>
              <w:t xml:space="preserve"> </w:t>
            </w:r>
            <w:r>
              <w:t xml:space="preserve">“</w:t>
            </w:r>
            <w:r>
              <w:t xml:space="preserve">Aqua nullius</w:t>
            </w:r>
            <w:r>
              <w:t xml:space="preserve">”</w:t>
            </w:r>
            <w:r>
              <w:t xml:space="preserve"> </w:t>
            </w:r>
            <w:r>
              <w:t xml:space="preserve">treatment of ocean as sink.</w:t>
            </w:r>
          </w:p>
        </w:tc>
        <w:tc>
          <w:p>
            <w:pPr>
              <w:pStyle w:val="Compact"/>
              <w:jc w:val="left"/>
            </w:pPr>
            <w:r>
              <w:rPr>
                <w:b/>
              </w:rPr>
              <w:t xml:space="preserve">Blue value gain:</w:t>
            </w:r>
            <w:r>
              <w:t xml:space="preserve"> </w:t>
            </w:r>
            <w:r>
              <w:t xml:space="preserve">Restored ecosystem functions (resilience, blue carbon, nursery habitats).</w:t>
            </w:r>
            <w:r>
              <w:t xml:space="preserve"> </w:t>
            </w:r>
            <w:r>
              <w:rPr>
                <w:b/>
              </w:rPr>
              <w:t xml:space="preserve">Policy hook:</w:t>
            </w:r>
            <w:r>
              <w:t xml:space="preserve"> </w:t>
            </w:r>
            <w:r>
              <w:t xml:space="preserve">“</w:t>
            </w:r>
            <w:r>
              <w:t xml:space="preserve">Protecting and restoring ocean health</w:t>
            </w:r>
            <w:r>
              <w:t xml:space="preserve">”</w:t>
            </w:r>
            <w:r>
              <w:t xml:space="preserve"> </w:t>
            </w:r>
            <w:r>
              <w:t xml:space="preserve">(European Ocean Pact Priority 1).</w:t>
            </w:r>
          </w:p>
        </w:tc>
        <w:tc>
          <w:p>
            <w:pPr>
              <w:pStyle w:val="Compact"/>
              <w:jc w:val="left"/>
            </w:pPr>
            <w:r>
              <w:rPr>
                <w:b/>
              </w:rPr>
              <w:t xml:space="preserve">Blue value stabilization:</w:t>
            </w:r>
            <w:r>
              <w:t xml:space="preserve"> </w:t>
            </w:r>
            <w:r>
              <w:t xml:space="preserve">Internalize transcorporeal exposure (health, toxicity, water-cycle coupling) into policy/markets; enforceable safeguards.</w:t>
            </w:r>
            <w:r>
              <w:t xml:space="preserve"> </w:t>
            </w:r>
            <w:r>
              <w:rPr>
                <w:b/>
              </w:rPr>
              <w:t xml:space="preserve">Knowledge hook:</w:t>
            </w:r>
            <w:r>
              <w:t xml:space="preserve"> </w:t>
            </w:r>
            <w:r>
              <w:t xml:space="preserve">Ocean literacy as societal competence (UNESCO, 2023).</w:t>
            </w:r>
          </w:p>
        </w:tc>
      </w:tr>
      <w:tr>
        <w:tc>
          <w:p>
            <w:pPr>
              <w:pStyle w:val="Compact"/>
              <w:jc w:val="left"/>
            </w:pPr>
            <w:r>
              <w:rPr>
                <w:b/>
              </w:rPr>
              <w:t xml:space="preserve">MARITIME (T)</w:t>
            </w:r>
          </w:p>
        </w:tc>
        <w:tc>
          <w:p>
            <w:pPr>
              <w:pStyle w:val="Compact"/>
              <w:jc w:val="left"/>
            </w:pPr>
            <w:r>
              <w:rPr>
                <w:b/>
              </w:rPr>
              <w:t xml:space="preserve">Blue value loss:</w:t>
            </w:r>
            <w:r>
              <w:t xml:space="preserve"> </w:t>
            </w:r>
            <w:r>
              <w:t xml:space="preserve">Deindustrialized ports; displaced working waterfronts; legitimacy collapse for</w:t>
            </w:r>
            <w:r>
              <w:t xml:space="preserve"> </w:t>
            </w:r>
            <w:r>
              <w:t xml:space="preserve">“</w:t>
            </w:r>
            <w:r>
              <w:t xml:space="preserve">new blue</w:t>
            </w:r>
            <w:r>
              <w:t xml:space="preserve">”</w:t>
            </w:r>
            <w:r>
              <w:t xml:space="preserve"> </w:t>
            </w:r>
            <w:r>
              <w:t xml:space="preserve">projects; skill deserts.</w:t>
            </w:r>
          </w:p>
        </w:tc>
        <w:tc>
          <w:p>
            <w:pPr>
              <w:pStyle w:val="Compact"/>
              <w:jc w:val="left"/>
            </w:pPr>
            <w:r>
              <w:rPr>
                <w:b/>
              </w:rPr>
              <w:t xml:space="preserve">Blue value gain:</w:t>
            </w:r>
            <w:r>
              <w:t xml:space="preserve"> </w:t>
            </w:r>
            <w:r>
              <w:t xml:space="preserve">Dignified sustainable jobs + institutional pathways (MSP, ports strategy, industrial maritime strategy).</w:t>
            </w:r>
            <w:r>
              <w:t xml:space="preserve"> </w:t>
            </w:r>
            <w:r>
              <w:rPr>
                <w:b/>
              </w:rPr>
              <w:t xml:space="preserve">Policy hook:</w:t>
            </w:r>
            <w:r>
              <w:t xml:space="preserve"> </w:t>
            </w:r>
            <w:r>
              <w:t xml:space="preserve">European Ocean Pact Priorities 2 and 3.</w:t>
            </w:r>
          </w:p>
        </w:tc>
        <w:tc>
          <w:p>
            <w:pPr>
              <w:pStyle w:val="Compact"/>
              <w:jc w:val="left"/>
            </w:pPr>
            <w:r>
              <w:rPr>
                <w:b/>
              </w:rPr>
              <w:t xml:space="preserve">Blue value justice:</w:t>
            </w:r>
            <w:r>
              <w:t xml:space="preserve"> </w:t>
            </w:r>
            <w:r>
              <w:t xml:space="preserve">Benefit-sharing, procedural inclusion, and self-restraint mechanisms that prevent</w:t>
            </w:r>
            <w:r>
              <w:t xml:space="preserve"> </w:t>
            </w:r>
            <w:r>
              <w:t xml:space="preserve">“</w:t>
            </w:r>
            <w:r>
              <w:t xml:space="preserve">green</w:t>
            </w:r>
            <w:r>
              <w:t xml:space="preserve">”</w:t>
            </w:r>
            <w:r>
              <w:t xml:space="preserve"> </w:t>
            </w:r>
            <w:r>
              <w:t xml:space="preserve">enclosure; institutional voice for the unrepresented (non-humans/future).</w:t>
            </w:r>
          </w:p>
        </w:tc>
      </w:tr>
      <w:tr>
        <w:tc>
          <w:p>
            <w:pPr>
              <w:pStyle w:val="Compact"/>
              <w:jc w:val="left"/>
            </w:pPr>
            <w:r>
              <w:rPr>
                <w:b/>
              </w:rPr>
              <w:t xml:space="preserve">OCEANIC (O)</w:t>
            </w:r>
          </w:p>
        </w:tc>
        <w:tc>
          <w:p>
            <w:pPr>
              <w:pStyle w:val="Compact"/>
              <w:jc w:val="left"/>
            </w:pPr>
            <w:r>
              <w:rPr>
                <w:b/>
              </w:rPr>
              <w:t xml:space="preserve">Blue value loss:</w:t>
            </w:r>
            <w:r>
              <w:t xml:space="preserve"> </w:t>
            </w:r>
            <w:r>
              <w:t xml:space="preserve">Sea-blindness; fragmented governance;</w:t>
            </w:r>
            <w:r>
              <w:t xml:space="preserve"> </w:t>
            </w:r>
            <w:r>
              <w:t xml:space="preserve">“</w:t>
            </w:r>
            <w:r>
              <w:t xml:space="preserve">sectoral ocean.</w:t>
            </w:r>
            <w:r>
              <w:t xml:space="preserve">”</w:t>
            </w:r>
          </w:p>
        </w:tc>
        <w:tc>
          <w:p>
            <w:pPr>
              <w:pStyle w:val="Compact"/>
              <w:jc w:val="left"/>
            </w:pPr>
            <w:r>
              <w:rPr>
                <w:b/>
              </w:rPr>
              <w:t xml:space="preserve">Blue value gain:</w:t>
            </w:r>
            <w:r>
              <w:t xml:space="preserve"> </w:t>
            </w:r>
            <w:r>
              <w:t xml:space="preserve">Ocean literacy + coordinated policy (</w:t>
            </w:r>
            <w:r>
              <w:t xml:space="preserve">“</w:t>
            </w:r>
            <w:r>
              <w:t xml:space="preserve">one ocean, one strategy</w:t>
            </w:r>
            <w:r>
              <w:t xml:space="preserve">”</w:t>
            </w:r>
            <w:r>
              <w:t xml:space="preserve"> </w:t>
            </w:r>
            <w:r>
              <w:t xml:space="preserve">logic).</w:t>
            </w:r>
            <w:r>
              <w:t xml:space="preserve"> </w:t>
            </w:r>
            <w:r>
              <w:rPr>
                <w:b/>
              </w:rPr>
              <w:t xml:space="preserve">Policy hook:</w:t>
            </w:r>
            <w:r>
              <w:t xml:space="preserve"> </w:t>
            </w:r>
            <w:r>
              <w:t xml:space="preserve">European Ocean Pact as integrative framework.</w:t>
            </w:r>
          </w:p>
        </w:tc>
        <w:tc>
          <w:p>
            <w:pPr>
              <w:pStyle w:val="Compact"/>
              <w:jc w:val="left"/>
            </w:pPr>
            <w:r>
              <w:rPr>
                <w:b/>
              </w:rPr>
              <w:t xml:space="preserve">Blue value legitimacy at scale:</w:t>
            </w:r>
            <w:r>
              <w:t xml:space="preserve"> </w:t>
            </w:r>
            <w:r>
              <w:t xml:space="preserve">ABNJ governance (MPAs/EIAs/benefit-sharing/capacity-building) + ocean diplomacy.</w:t>
            </w:r>
            <w:r>
              <w:t xml:space="preserve"> </w:t>
            </w:r>
            <w:r>
              <w:rPr>
                <w:b/>
              </w:rPr>
              <w:t xml:space="preserve">Concrete instrument:</w:t>
            </w:r>
            <w:r>
              <w:t xml:space="preserve"> </w:t>
            </w:r>
            <w:r>
              <w:t xml:space="preserve">BBNJ Agreement (IMO, 2026).</w:t>
            </w:r>
          </w:p>
        </w:tc>
      </w:tr>
    </w:tbl>
    <w:p>
      <w:pPr>
        <w:pStyle w:val="BodyText"/>
      </w:pPr>
      <w:r>
        <w:rPr>
          <w:b/>
        </w:rPr>
        <w:t xml:space="preserve">Key rule (the equilibrium condition):</w:t>
      </w:r>
      <w:r>
        <w:t xml:space="preserve"> </w:t>
      </w:r>
      <w:r>
        <w:t xml:space="preserve">Sustainable Blue Value exists only when</w:t>
      </w:r>
      <w:r>
        <w:t xml:space="preserve"> </w:t>
      </w:r>
      <w:r>
        <w:rPr>
          <w:b/>
        </w:rPr>
        <w:t xml:space="preserve">Re-M + Re-T + Re-O</w:t>
      </w:r>
      <w:r>
        <w:t xml:space="preserve"> </w:t>
      </w:r>
      <w:r>
        <w:t xml:space="preserve">are simultaneously high</w:t>
      </w:r>
      <w:r>
        <w:t xml:space="preserve"> </w:t>
      </w:r>
      <w:r>
        <w:rPr>
          <w:i/>
        </w:rPr>
        <w:t xml:space="preserve">and</w:t>
      </w:r>
      <w:r>
        <w:t xml:space="preserve"> </w:t>
      </w:r>
      <w:r>
        <w:t xml:space="preserve">“</w:t>
      </w:r>
      <w:r>
        <w:t xml:space="preserve">Trans-</w:t>
      </w:r>
      <w:r>
        <w:t xml:space="preserve">”</w:t>
      </w:r>
      <w:r>
        <w:t xml:space="preserve"> </w:t>
      </w:r>
      <w:r>
        <w:t xml:space="preserve">mechanisms prevent any one axis from externalizing costs onto the others. This is the core theoretical claim of TMBD, now formalized and operationalizable.</w:t>
      </w:r>
    </w:p>
    <w:p>
      <w:r>
        <w:pict>
          <v:rect style="width:0;height:1.5pt" o:hralign="center" o:hrstd="t" o:hr="t"/>
        </w:pict>
      </w:r>
    </w:p>
    <w:p>
      <w:pPr>
        <w:pStyle w:val="Nagwek2"/>
      </w:pPr>
      <w:bookmarkStart w:id="39" w:name="X01cb5969cd5a0db4d2454b4219e117051264a1e"/>
      <w:r>
        <w:t xml:space="preserve">4. Policy Application: TMBD as a Coherence Test for the European Ocean Pact</w:t>
      </w:r>
      <w:bookmarkEnd w:id="39"/>
    </w:p>
    <w:p>
      <w:pPr>
        <w:pStyle w:val="Nagwek3"/>
      </w:pPr>
      <w:bookmarkStart w:id="40" w:name="Xa7e1807f73530a628b6c39581b58d1a89bc8d99"/>
      <w:r>
        <w:t xml:space="preserve">4.1 The European Ocean Pact: A Policy Scaffold Across Three Axes</w:t>
      </w:r>
      <w:bookmarkEnd w:id="40"/>
    </w:p>
    <w:p>
      <w:pPr>
        <w:pStyle w:val="FirstParagraph"/>
      </w:pPr>
      <w:r>
        <w:t xml:space="preserve">The European Ocean Pact, adopted in 2025, provides a comprehensive policy architecture for the EU’s ocean strategy. It is</w:t>
      </w:r>
      <w:r>
        <w:t xml:space="preserve"> </w:t>
      </w:r>
      <w:r>
        <w:t xml:space="preserve">“</w:t>
      </w:r>
      <w:r>
        <w:t xml:space="preserve">built around six priorities:</w:t>
      </w:r>
      <w:r>
        <w:t xml:space="preserve"> </w:t>
      </w:r>
      <w:r>
        <w:rPr>
          <w:b/>
        </w:rPr>
        <w:t xml:space="preserve">(1)</w:t>
      </w:r>
      <w:r>
        <w:t xml:space="preserve"> </w:t>
      </w:r>
      <w:r>
        <w:t xml:space="preserve">protecting and restoring ocean health;</w:t>
      </w:r>
      <w:r>
        <w:t xml:space="preserve"> </w:t>
      </w:r>
      <w:r>
        <w:rPr>
          <w:b/>
        </w:rPr>
        <w:t xml:space="preserve">(2)</w:t>
      </w:r>
      <w:r>
        <w:t xml:space="preserve"> </w:t>
      </w:r>
      <w:r>
        <w:t xml:space="preserve">boosting competitiveness of the EU sustainable blue economy;</w:t>
      </w:r>
      <w:r>
        <w:t xml:space="preserve"> </w:t>
      </w:r>
      <w:r>
        <w:rPr>
          <w:b/>
        </w:rPr>
        <w:t xml:space="preserve">(3)</w:t>
      </w:r>
      <w:r>
        <w:t xml:space="preserve"> </w:t>
      </w:r>
      <w:r>
        <w:t xml:space="preserve">supporting coastal communities;</w:t>
      </w:r>
      <w:r>
        <w:t xml:space="preserve"> </w:t>
      </w:r>
      <w:r>
        <w:rPr>
          <w:b/>
        </w:rPr>
        <w:t xml:space="preserve">(4)</w:t>
      </w:r>
      <w:r>
        <w:t xml:space="preserve"> </w:t>
      </w:r>
      <w:r>
        <w:t xml:space="preserve">advancing research/skills/innovation;</w:t>
      </w:r>
      <w:r>
        <w:t xml:space="preserve"> </w:t>
      </w:r>
      <w:r>
        <w:rPr>
          <w:b/>
        </w:rPr>
        <w:t xml:space="preserve">(5)</w:t>
      </w:r>
      <w:r>
        <w:t xml:space="preserve"> </w:t>
      </w:r>
      <w:r>
        <w:t xml:space="preserve">maritime security;</w:t>
      </w:r>
      <w:r>
        <w:t xml:space="preserve"> </w:t>
      </w:r>
      <w:r>
        <w:rPr>
          <w:b/>
        </w:rPr>
        <w:t xml:space="preserve">(6)</w:t>
      </w:r>
      <w:r>
        <w:t xml:space="preserve"> </w:t>
      </w:r>
      <w:r>
        <w:t xml:space="preserve">diplomacy and governance</w:t>
      </w:r>
      <w:r>
        <w:t xml:space="preserve">”</w:t>
      </w:r>
      <w:r>
        <w:t xml:space="preserve"> </w:t>
      </w:r>
      <w:r>
        <w:t xml:space="preserve">(European Commission, 2025).</w:t>
      </w:r>
    </w:p>
    <w:p>
      <w:pPr>
        <w:pStyle w:val="BodyText"/>
      </w:pPr>
      <w:r>
        <w:t xml:space="preserve">From a TMBD perspective, this architecture already implies</w:t>
      </w:r>
      <w:r>
        <w:t xml:space="preserve"> </w:t>
      </w:r>
      <w:r>
        <w:rPr>
          <w:i/>
        </w:rPr>
        <w:t xml:space="preserve">three coupled domains</w:t>
      </w:r>
      <w:r>
        <w:t xml:space="preserve">:</w:t>
      </w:r>
    </w:p>
    <w:p>
      <w:pPr>
        <w:numPr>
          <w:ilvl w:val="0"/>
          <w:numId w:val="1013"/>
        </w:numPr>
        <w:pStyle w:val="Compact"/>
      </w:pPr>
      <w:r>
        <w:rPr>
          <w:b/>
        </w:rPr>
        <w:t xml:space="preserve">Ecology ↔ Marine (M):</w:t>
      </w:r>
      <w:r>
        <w:t xml:space="preserve"> </w:t>
      </w:r>
      <w:r>
        <w:t xml:space="preserve">Priority 1 (health and restoration) directly addresses the M-axis.</w:t>
      </w:r>
    </w:p>
    <w:p>
      <w:pPr>
        <w:numPr>
          <w:ilvl w:val="0"/>
          <w:numId w:val="1013"/>
        </w:numPr>
        <w:pStyle w:val="Compact"/>
      </w:pPr>
      <w:r>
        <w:rPr>
          <w:b/>
        </w:rPr>
        <w:t xml:space="preserve">Economy/Institutions ↔ Maritime (T):</w:t>
      </w:r>
      <w:r>
        <w:t xml:space="preserve"> </w:t>
      </w:r>
      <w:r>
        <w:t xml:space="preserve">Priorities 2 (competitiveness), 3 (communities), and 5 (security) address the T-axis.</w:t>
      </w:r>
    </w:p>
    <w:p>
      <w:pPr>
        <w:numPr>
          <w:ilvl w:val="0"/>
          <w:numId w:val="1013"/>
        </w:numPr>
        <w:pStyle w:val="Compact"/>
      </w:pPr>
      <w:r>
        <w:rPr>
          <w:b/>
        </w:rPr>
        <w:t xml:space="preserve">Knowledge/Citizenship/Governance ↔ Oceanic (O):</w:t>
      </w:r>
      <w:r>
        <w:t xml:space="preserve"> </w:t>
      </w:r>
      <w:r>
        <w:t xml:space="preserve">Priorities 4 (research/innovation), 6 (diplomacy/governance), and the overarching</w:t>
      </w:r>
      <w:r>
        <w:t xml:space="preserve"> </w:t>
      </w:r>
      <w:r>
        <w:t xml:space="preserve">“</w:t>
      </w:r>
      <w:r>
        <w:t xml:space="preserve">one ocean</w:t>
      </w:r>
      <w:r>
        <w:t xml:space="preserve">”</w:t>
      </w:r>
      <w:r>
        <w:t xml:space="preserve"> </w:t>
      </w:r>
      <w:r>
        <w:t xml:space="preserve">framing address the O-axis.</w:t>
      </w:r>
    </w:p>
    <w:p>
      <w:pPr>
        <w:pStyle w:val="FirstParagraph"/>
      </w:pPr>
      <w:r>
        <w:t xml:space="preserve">TMBD formalizes this coupling sociologically and makes</w:t>
      </w:r>
      <w:r>
        <w:t xml:space="preserve"> </w:t>
      </w:r>
      <w:r>
        <w:t xml:space="preserve">“</w:t>
      </w:r>
      <w:r>
        <w:t xml:space="preserve">Blue Value</w:t>
      </w:r>
      <w:r>
        <w:t xml:space="preserve">”</w:t>
      </w:r>
      <w:r>
        <w:t xml:space="preserve"> </w:t>
      </w:r>
      <w:r>
        <w:t xml:space="preserve">a</w:t>
      </w:r>
      <w:r>
        <w:t xml:space="preserve"> </w:t>
      </w:r>
      <w:r>
        <w:rPr>
          <w:b/>
        </w:rPr>
        <w:t xml:space="preserve">measurable equilibrium</w:t>
      </w:r>
      <w:r>
        <w:t xml:space="preserve"> </w:t>
      </w:r>
      <w:r>
        <w:t xml:space="preserve">rather than aspirational rhetoric. The Pact thus provides the</w:t>
      </w:r>
      <w:r>
        <w:t xml:space="preserve"> </w:t>
      </w:r>
      <w:r>
        <w:rPr>
          <w:i/>
        </w:rPr>
        <w:t xml:space="preserve">policy scaffold</w:t>
      </w:r>
      <w:r>
        <w:t xml:space="preserve">; TMBD provides the</w:t>
      </w:r>
      <w:r>
        <w:t xml:space="preserve"> </w:t>
      </w:r>
      <w:r>
        <w:rPr>
          <w:i/>
        </w:rPr>
        <w:t xml:space="preserve">analytical engine</w:t>
      </w:r>
      <w:r>
        <w:t xml:space="preserve"> </w:t>
      </w:r>
      <w:r>
        <w:t xml:space="preserve">to assess whether specific initiatives generate sustainable Blue Value or reproduce extractive patterns.</w:t>
      </w:r>
    </w:p>
    <w:p>
      <w:pPr>
        <w:pStyle w:val="Nagwek3"/>
      </w:pPr>
      <w:bookmarkStart w:id="41" w:name="X85c13c844aa77db551528120a8592ef68f1f255"/>
      <w:r>
        <w:t xml:space="preserve">4.2 Mapping the Six Priorities onto TMBD Axes</w:t>
      </w:r>
      <w:bookmarkEnd w:id="41"/>
    </w:p>
    <w:p>
      <w:pPr>
        <w:pStyle w:val="FirstParagraph"/>
      </w:pPr>
      <w:r>
        <w:t xml:space="preserve">We can map each priority onto the TMBD framework to demonstrate its coherence and identify potential gaps:</w:t>
      </w:r>
    </w:p>
    <w:p>
      <w:pPr>
        <w:pStyle w:val="BodyText"/>
      </w:pPr>
      <w:r>
        <w:rPr>
          <w:b/>
        </w:rPr>
        <w:t xml:space="preserve">Priority 1: Protecting and Restoring Ocean Health</w:t>
      </w:r>
      <w:r>
        <w:t xml:space="preserve"> </w:t>
      </w:r>
      <w:r>
        <w:t xml:space="preserve">-</w:t>
      </w:r>
      <w:r>
        <w:t xml:space="preserve"> </w:t>
      </w:r>
      <w:r>
        <w:rPr>
          <w:b/>
        </w:rPr>
        <w:t xml:space="preserve">Primary axis:</w:t>
      </w:r>
      <w:r>
        <w:t xml:space="preserve"> </w:t>
      </w:r>
      <w:r>
        <w:t xml:space="preserve">Marine (M) – Re-marinisation</w:t>
      </w:r>
      <w:r>
        <w:t xml:space="preserve"> </w:t>
      </w:r>
      <w:r>
        <w:t xml:space="preserve">-</w:t>
      </w:r>
      <w:r>
        <w:t xml:space="preserve"> </w:t>
      </w:r>
      <w:r>
        <w:rPr>
          <w:b/>
        </w:rPr>
        <w:t xml:space="preserve">Mechanism:</w:t>
      </w:r>
      <w:r>
        <w:t xml:space="preserve"> </w:t>
      </w:r>
      <w:r>
        <w:t xml:space="preserve">MPAs, habitat restoration, pollution reduction, climate adaptation</w:t>
      </w:r>
      <w:r>
        <w:t xml:space="preserve"> </w:t>
      </w:r>
      <w:r>
        <w:t xml:space="preserve">-</w:t>
      </w:r>
      <w:r>
        <w:t xml:space="preserve"> </w:t>
      </w:r>
      <w:r>
        <w:rPr>
          <w:b/>
        </w:rPr>
        <w:t xml:space="preserve">TMBD test:</w:t>
      </w:r>
      <w:r>
        <w:t xml:space="preserve"> </w:t>
      </w:r>
      <w:r>
        <w:t xml:space="preserve">Does it restore biophysical integrity</w:t>
      </w:r>
      <w:r>
        <w:t xml:space="preserve"> </w:t>
      </w:r>
      <w:r>
        <w:rPr>
          <w:i/>
        </w:rPr>
        <w:t xml:space="preserve">and</w:t>
      </w:r>
      <w:r>
        <w:t xml:space="preserve"> </w:t>
      </w:r>
      <w:r>
        <w:t xml:space="preserve">prevent cost-shifting onto coastal communities (T) or ABNJ (O)?</w:t>
      </w:r>
    </w:p>
    <w:p>
      <w:pPr>
        <w:pStyle w:val="BodyText"/>
      </w:pPr>
      <w:r>
        <w:rPr>
          <w:b/>
        </w:rPr>
        <w:t xml:space="preserve">Priority 2: Boosting Competitiveness of the EU Sustainable Blue Economy</w:t>
      </w:r>
      <w:r>
        <w:t xml:space="preserve"> </w:t>
      </w:r>
      <w:r>
        <w:t xml:space="preserve">-</w:t>
      </w:r>
      <w:r>
        <w:t xml:space="preserve"> </w:t>
      </w:r>
      <w:r>
        <w:rPr>
          <w:b/>
        </w:rPr>
        <w:t xml:space="preserve">Primary axis:</w:t>
      </w:r>
      <w:r>
        <w:t xml:space="preserve"> </w:t>
      </w:r>
      <w:r>
        <w:t xml:space="preserve">Maritime (T) – Re-maritimisation</w:t>
      </w:r>
      <w:r>
        <w:t xml:space="preserve"> </w:t>
      </w:r>
      <w:r>
        <w:t xml:space="preserve">-</w:t>
      </w:r>
      <w:r>
        <w:t xml:space="preserve"> </w:t>
      </w:r>
      <w:r>
        <w:rPr>
          <w:b/>
        </w:rPr>
        <w:t xml:space="preserve">Mechanism:</w:t>
      </w:r>
      <w:r>
        <w:t xml:space="preserve"> </w:t>
      </w:r>
      <w:r>
        <w:t xml:space="preserve">Innovation, investment, green technologies, circular economy</w:t>
      </w:r>
      <w:r>
        <w:t xml:space="preserve"> </w:t>
      </w:r>
      <w:r>
        <w:t xml:space="preserve">-</w:t>
      </w:r>
      <w:r>
        <w:t xml:space="preserve"> </w:t>
      </w:r>
      <w:r>
        <w:rPr>
          <w:b/>
        </w:rPr>
        <w:t xml:space="preserve">TMBD test:</w:t>
      </w:r>
      <w:r>
        <w:t xml:space="preserve"> </w:t>
      </w:r>
      <w:r>
        <w:t xml:space="preserve">Does it generate dignified jobs and respect marine thresholds (M)</w:t>
      </w:r>
      <w:r>
        <w:t xml:space="preserve"> </w:t>
      </w:r>
      <w:r>
        <w:rPr>
          <w:i/>
        </w:rPr>
        <w:t xml:space="preserve">and</w:t>
      </w:r>
      <w:r>
        <w:t xml:space="preserve"> </w:t>
      </w:r>
      <w:r>
        <w:t xml:space="preserve">ensure benefit-sharing (O)?</w:t>
      </w:r>
    </w:p>
    <w:p>
      <w:pPr>
        <w:pStyle w:val="BodyText"/>
      </w:pPr>
      <w:r>
        <w:rPr>
          <w:b/>
        </w:rPr>
        <w:t xml:space="preserve">Priority 3: Supporting Coastal Communities</w:t>
      </w:r>
      <w:r>
        <w:t xml:space="preserve"> </w:t>
      </w:r>
      <w:r>
        <w:t xml:space="preserve">-</w:t>
      </w:r>
      <w:r>
        <w:t xml:space="preserve"> </w:t>
      </w:r>
      <w:r>
        <w:rPr>
          <w:b/>
        </w:rPr>
        <w:t xml:space="preserve">Primary axis:</w:t>
      </w:r>
      <w:r>
        <w:t xml:space="preserve"> </w:t>
      </w:r>
      <w:r>
        <w:t xml:space="preserve">Maritime (T) – Trans-corporate maritimisation</w:t>
      </w:r>
      <w:r>
        <w:t xml:space="preserve"> </w:t>
      </w:r>
      <w:r>
        <w:t xml:space="preserve">-</w:t>
      </w:r>
      <w:r>
        <w:t xml:space="preserve"> </w:t>
      </w:r>
      <w:r>
        <w:rPr>
          <w:b/>
        </w:rPr>
        <w:t xml:space="preserve">Mechanism:</w:t>
      </w:r>
      <w:r>
        <w:t xml:space="preserve"> </w:t>
      </w:r>
      <w:r>
        <w:t xml:space="preserve">Just transitions, participatory governance, community benefit-sharing</w:t>
      </w:r>
      <w:r>
        <w:t xml:space="preserve"> </w:t>
      </w:r>
      <w:r>
        <w:t xml:space="preserve">-</w:t>
      </w:r>
      <w:r>
        <w:t xml:space="preserve"> </w:t>
      </w:r>
      <w:r>
        <w:rPr>
          <w:b/>
        </w:rPr>
        <w:t xml:space="preserve">TMBD test:</w:t>
      </w:r>
      <w:r>
        <w:t xml:space="preserve"> </w:t>
      </w:r>
      <w:r>
        <w:t xml:space="preserve">Does it give procedural voice and prevent displacement?</w:t>
      </w:r>
    </w:p>
    <w:p>
      <w:pPr>
        <w:pStyle w:val="BodyText"/>
      </w:pPr>
      <w:r>
        <w:rPr>
          <w:b/>
        </w:rPr>
        <w:t xml:space="preserve">Priority 4: Advancing Research/Skills/Innovation</w:t>
      </w:r>
      <w:r>
        <w:t xml:space="preserve"> </w:t>
      </w:r>
      <w:r>
        <w:t xml:space="preserve">-</w:t>
      </w:r>
      <w:r>
        <w:t xml:space="preserve"> </w:t>
      </w:r>
      <w:r>
        <w:rPr>
          <w:b/>
        </w:rPr>
        <w:t xml:space="preserve">Primary axis:</w:t>
      </w:r>
      <w:r>
        <w:t xml:space="preserve"> </w:t>
      </w:r>
      <w:r>
        <w:t xml:space="preserve">Oceanic (O) – Re-oceanisation (knowledge infrastructure)</w:t>
      </w:r>
      <w:r>
        <w:t xml:space="preserve"> </w:t>
      </w:r>
      <w:r>
        <w:t xml:space="preserve">-</w:t>
      </w:r>
      <w:r>
        <w:t xml:space="preserve"> </w:t>
      </w:r>
      <w:r>
        <w:rPr>
          <w:b/>
        </w:rPr>
        <w:t xml:space="preserve">Mechanism:</w:t>
      </w:r>
      <w:r>
        <w:t xml:space="preserve"> </w:t>
      </w:r>
      <w:r>
        <w:t xml:space="preserve">Ocean literacy, data infrastructures (e.g., GEO Blue Planet), capacity-building</w:t>
      </w:r>
      <w:r>
        <w:t xml:space="preserve"> </w:t>
      </w:r>
      <w:r>
        <w:t xml:space="preserve">-</w:t>
      </w:r>
      <w:r>
        <w:t xml:space="preserve"> </w:t>
      </w:r>
      <w:r>
        <w:rPr>
          <w:b/>
        </w:rPr>
        <w:t xml:space="preserve">TMBD test:</w:t>
      </w:r>
      <w:r>
        <w:t xml:space="preserve"> </w:t>
      </w:r>
      <w:r>
        <w:t xml:space="preserve">Does it enhance reflexive capacity to govern M-T coupling?</w:t>
      </w:r>
    </w:p>
    <w:p>
      <w:pPr>
        <w:pStyle w:val="BodyText"/>
      </w:pPr>
      <w:r>
        <w:rPr>
          <w:b/>
        </w:rPr>
        <w:t xml:space="preserve">Priority 5: Maritime Security</w:t>
      </w:r>
      <w:r>
        <w:t xml:space="preserve"> </w:t>
      </w:r>
      <w:r>
        <w:t xml:space="preserve">-</w:t>
      </w:r>
      <w:r>
        <w:t xml:space="preserve"> </w:t>
      </w:r>
      <w:r>
        <w:rPr>
          <w:b/>
        </w:rPr>
        <w:t xml:space="preserve">Primary axis:</w:t>
      </w:r>
      <w:r>
        <w:t xml:space="preserve"> </w:t>
      </w:r>
      <w:r>
        <w:t xml:space="preserve">Maritime (T) – De-maritimisation prevention</w:t>
      </w:r>
      <w:r>
        <w:t xml:space="preserve"> </w:t>
      </w:r>
      <w:r>
        <w:t xml:space="preserve">-</w:t>
      </w:r>
      <w:r>
        <w:t xml:space="preserve"> </w:t>
      </w:r>
      <w:r>
        <w:rPr>
          <w:b/>
        </w:rPr>
        <w:t xml:space="preserve">Mechanism:</w:t>
      </w:r>
      <w:r>
        <w:t xml:space="preserve"> </w:t>
      </w:r>
      <w:r>
        <w:t xml:space="preserve">Infrastructure resilience, SAR capacity, illegal fishing enforcement</w:t>
      </w:r>
      <w:r>
        <w:t xml:space="preserve"> </w:t>
      </w:r>
      <w:r>
        <w:t xml:space="preserve">-</w:t>
      </w:r>
      <w:r>
        <w:t xml:space="preserve"> </w:t>
      </w:r>
      <w:r>
        <w:rPr>
          <w:b/>
        </w:rPr>
        <w:t xml:space="preserve">TMBD test:</w:t>
      </w:r>
      <w:r>
        <w:t xml:space="preserve"> </w:t>
      </w:r>
      <w:r>
        <w:t xml:space="preserve">Does it protect maritime systems without militarizing ocean space (O)?</w:t>
      </w:r>
    </w:p>
    <w:p>
      <w:pPr>
        <w:pStyle w:val="BodyText"/>
      </w:pPr>
      <w:r>
        <w:rPr>
          <w:b/>
        </w:rPr>
        <w:t xml:space="preserve">Priority 6: Diplomacy and Governance</w:t>
      </w:r>
      <w:r>
        <w:t xml:space="preserve"> </w:t>
      </w:r>
      <w:r>
        <w:t xml:space="preserve">-</w:t>
      </w:r>
      <w:r>
        <w:t xml:space="preserve"> </w:t>
      </w:r>
      <w:r>
        <w:rPr>
          <w:b/>
        </w:rPr>
        <w:t xml:space="preserve">Primary axis:</w:t>
      </w:r>
      <w:r>
        <w:t xml:space="preserve"> </w:t>
      </w:r>
      <w:r>
        <w:t xml:space="preserve">Oceanic (O) – Trans-oceanisation</w:t>
      </w:r>
      <w:r>
        <w:t xml:space="preserve"> </w:t>
      </w:r>
      <w:r>
        <w:t xml:space="preserve">-</w:t>
      </w:r>
      <w:r>
        <w:t xml:space="preserve"> </w:t>
      </w:r>
      <w:r>
        <w:rPr>
          <w:b/>
        </w:rPr>
        <w:t xml:space="preserve">Mechanism:</w:t>
      </w:r>
      <w:r>
        <w:t xml:space="preserve"> </w:t>
      </w:r>
      <w:r>
        <w:t xml:space="preserve">BBNJ implementation, regional cooperation, ABNJ stewardship</w:t>
      </w:r>
      <w:r>
        <w:t xml:space="preserve"> </w:t>
      </w:r>
      <w:r>
        <w:t xml:space="preserve">-</w:t>
      </w:r>
      <w:r>
        <w:t xml:space="preserve"> </w:t>
      </w:r>
      <w:r>
        <w:rPr>
          <w:b/>
        </w:rPr>
        <w:t xml:space="preserve">TMBD test:</w:t>
      </w:r>
      <w:r>
        <w:t xml:space="preserve"> </w:t>
      </w:r>
      <w:r>
        <w:t xml:space="preserve">Does it coordinate M-T-O across scales and jurisdictions?</w:t>
      </w:r>
    </w:p>
    <w:p>
      <w:pPr>
        <w:pStyle w:val="Nagwek3"/>
      </w:pPr>
      <w:bookmarkStart w:id="42" w:name="X7bca607995ed44fd881bcbb43129a941a267d39"/>
      <w:r>
        <w:t xml:space="preserve">4.3 TMBD as a Coherence Test: Operational Criteria</w:t>
      </w:r>
      <w:bookmarkEnd w:id="42"/>
    </w:p>
    <w:p>
      <w:pPr>
        <w:pStyle w:val="FirstParagraph"/>
      </w:pPr>
      <w:r>
        <w:t xml:space="preserve">TMBD turns the six priorities into a</w:t>
      </w:r>
      <w:r>
        <w:t xml:space="preserve"> </w:t>
      </w:r>
      <w:r>
        <w:rPr>
          <w:b/>
        </w:rPr>
        <w:t xml:space="preserve">coherence test</w:t>
      </w:r>
      <w:r>
        <w:t xml:space="preserve"> </w:t>
      </w:r>
      <w:r>
        <w:t xml:space="preserve">for any blue initiative. To pass the test, a proposed policy, project, or investment must demonstrate:</w:t>
      </w:r>
    </w:p>
    <w:p>
      <w:pPr>
        <w:numPr>
          <w:ilvl w:val="0"/>
          <w:numId w:val="1014"/>
        </w:numPr>
        <w:pStyle w:val="Compact"/>
      </w:pPr>
      <w:r>
        <w:rPr>
          <w:b/>
        </w:rPr>
        <w:t xml:space="preserve">Net-positive movement on M:</w:t>
      </w:r>
      <w:r>
        <w:t xml:space="preserve"> </w:t>
      </w:r>
      <w:r>
        <w:t xml:space="preserve">Does it restore or at least not degrade biophysical integrity? (Indicators: MPA coverage, stock status, habitat condition, pollution levels)</w:t>
      </w:r>
    </w:p>
    <w:p>
      <w:pPr>
        <w:numPr>
          <w:ilvl w:val="0"/>
          <w:numId w:val="1014"/>
        </w:numPr>
        <w:pStyle w:val="Compact"/>
      </w:pPr>
      <w:r>
        <w:rPr>
          <w:b/>
        </w:rPr>
        <w:t xml:space="preserve">Net-positive movement on T:</w:t>
      </w:r>
      <w:r>
        <w:t xml:space="preserve"> </w:t>
      </w:r>
      <w:r>
        <w:t xml:space="preserve">Does it create dignified livelihoods and strengthen institutions without displacement or enclosure? (Indicators: employment quality, community participation, MSP inclusiveness)</w:t>
      </w:r>
    </w:p>
    <w:p>
      <w:pPr>
        <w:numPr>
          <w:ilvl w:val="0"/>
          <w:numId w:val="1014"/>
        </w:numPr>
        <w:pStyle w:val="Compact"/>
      </w:pPr>
      <w:r>
        <w:rPr>
          <w:b/>
        </w:rPr>
        <w:t xml:space="preserve">Net-positive movement on O:</w:t>
      </w:r>
      <w:r>
        <w:t xml:space="preserve"> </w:t>
      </w:r>
      <w:r>
        <w:t xml:space="preserve">Does it enhance ocean literacy, coordination, and justice? (Indicators: literacy rates, treaty ratifications, benefit-sharing mechanisms, procedural inclusion)</w:t>
      </w:r>
    </w:p>
    <w:p>
      <w:pPr>
        <w:numPr>
          <w:ilvl w:val="0"/>
          <w:numId w:val="1014"/>
        </w:numPr>
        <w:pStyle w:val="Compact"/>
      </w:pPr>
      <w:r>
        <w:rPr>
          <w:b/>
        </w:rPr>
        <w:t xml:space="preserve">Trans- safeguards in place:</w:t>
      </w:r>
      <w:r>
        <w:t xml:space="preserve"> </w:t>
      </w:r>
      <w:r>
        <w:t xml:space="preserve">Are there enforceable mechanisms to prevent cost-shifting? (Indicators: EIAs, precautionary thresholds, grievance mechanisms, rights-of-nature provisions)</w:t>
      </w:r>
    </w:p>
    <w:p>
      <w:pPr>
        <w:pStyle w:val="FirstParagraph"/>
      </w:pPr>
      <w:r>
        <w:t xml:space="preserve">If an initiative scores high on one or two axes but low or negative on the third, it fails the coherence test and is likely to reproduce unsustainable patterns (e.g.,</w:t>
      </w:r>
      <w:r>
        <w:t xml:space="preserve"> </w:t>
      </w:r>
      <w:r>
        <w:t xml:space="preserve">“</w:t>
      </w:r>
      <w:r>
        <w:t xml:space="preserve">green growth</w:t>
      </w:r>
      <w:r>
        <w:t xml:space="preserve">”</w:t>
      </w:r>
      <w:r>
        <w:t xml:space="preserve"> </w:t>
      </w:r>
      <w:r>
        <w:t xml:space="preserve">that displaces communities, or</w:t>
      </w:r>
      <w:r>
        <w:t xml:space="preserve"> </w:t>
      </w:r>
      <w:r>
        <w:t xml:space="preserve">“</w:t>
      </w:r>
      <w:r>
        <w:t xml:space="preserve">community benefits</w:t>
      </w:r>
      <w:r>
        <w:t xml:space="preserve">”</w:t>
      </w:r>
      <w:r>
        <w:t xml:space="preserve"> </w:t>
      </w:r>
      <w:r>
        <w:t xml:space="preserve">that ignore ecological limits).</w:t>
      </w:r>
    </w:p>
    <w:p>
      <w:r>
        <w:pict>
          <v:rect style="width:0;height:1.5pt" o:hralign="center" o:hrstd="t" o:hr="t"/>
        </w:pict>
      </w:r>
    </w:p>
    <w:p>
      <w:pPr>
        <w:pStyle w:val="Nagwek2"/>
      </w:pPr>
      <w:bookmarkStart w:id="43" w:name="Xd95c57f578919968bf587c135d85016493328c5"/>
      <w:r>
        <w:t xml:space="preserve">5. Global Governance Application: The High Seas Treaty as Trans-Oceanisation</w:t>
      </w:r>
      <w:bookmarkEnd w:id="43"/>
    </w:p>
    <w:p>
      <w:pPr>
        <w:pStyle w:val="Nagwek3"/>
      </w:pPr>
      <w:bookmarkStart w:id="44" w:name="X40b696304178f261b6fd0b2469e70a5a2919d31"/>
      <w:r>
        <w:t xml:space="preserve">5.1 The BBNJ Agreement: Institutionalizing Trans-Oceanisation</w:t>
      </w:r>
      <w:bookmarkEnd w:id="44"/>
    </w:p>
    <w:p>
      <w:pPr>
        <w:pStyle w:val="FirstParagraph"/>
      </w:pPr>
      <w:r>
        <w:t xml:space="preserve">The Agreement on the Conservation and Sustainable Use of Marine Biological Diversity of Areas Beyond National Jurisdiction (BBNJ Agreement, commonly known as the High Seas Treaty) entered into force on 17 January 2026. It</w:t>
      </w:r>
      <w:r>
        <w:t xml:space="preserve"> </w:t>
      </w:r>
      <w:r>
        <w:t xml:space="preserve">“</w:t>
      </w:r>
      <w:r>
        <w:t xml:space="preserve">addresses: marine genetic resources (including benefit-sharing), area-based management tools including Marine Protected Areas, environmental impact assessments, capacity-building and technology transfer</w:t>
      </w:r>
      <w:r>
        <w:t xml:space="preserve">”</w:t>
      </w:r>
      <w:r>
        <w:t xml:space="preserve"> </w:t>
      </w:r>
      <w:r>
        <w:t xml:space="preserve">(IMO, 2026).</w:t>
      </w:r>
    </w:p>
    <w:p>
      <w:pPr>
        <w:pStyle w:val="BodyText"/>
      </w:pPr>
      <w:r>
        <w:t xml:space="preserve">From a TMBD perspective, the BBNJ Agreement is a</w:t>
      </w:r>
      <w:r>
        <w:t xml:space="preserve"> </w:t>
      </w:r>
      <w:r>
        <w:rPr>
          <w:b/>
        </w:rPr>
        <w:t xml:space="preserve">concrete Trans-oceanisation instrument</w:t>
      </w:r>
      <w:r>
        <w:t xml:space="preserve">. It operationalizes the O-axis at the ABNJ scale and forces T (shipping, biotech, extractive interests) to be constrained by M (biodiversity thresholds) through enforceable procedures. Specifically:</w:t>
      </w:r>
    </w:p>
    <w:p>
      <w:pPr>
        <w:numPr>
          <w:ilvl w:val="0"/>
          <w:numId w:val="1015"/>
        </w:numPr>
        <w:pStyle w:val="Compact"/>
      </w:pPr>
      <w:r>
        <w:rPr>
          <w:b/>
        </w:rPr>
        <w:t xml:space="preserve">Marine genetic resources + benefit-sharing:</w:t>
      </w:r>
      <w:r>
        <w:t xml:space="preserve"> </w:t>
      </w:r>
      <w:r>
        <w:t xml:space="preserve">Ensures that value derived from marine biodiversity (M) is shared globally (O), not captured by technologically advanced states alone (T).</w:t>
      </w:r>
    </w:p>
    <w:p>
      <w:pPr>
        <w:numPr>
          <w:ilvl w:val="0"/>
          <w:numId w:val="1015"/>
        </w:numPr>
        <w:pStyle w:val="Compact"/>
      </w:pPr>
      <w:r>
        <w:rPr>
          <w:b/>
        </w:rPr>
        <w:t xml:space="preserve">Area-based management tools (ABMTs) including MPAs:</w:t>
      </w:r>
      <w:r>
        <w:t xml:space="preserve"> </w:t>
      </w:r>
      <w:r>
        <w:t xml:space="preserve">Protects biophysical integrity (M) by limiting maritime expansion (T) in critical habitats.</w:t>
      </w:r>
    </w:p>
    <w:p>
      <w:pPr>
        <w:numPr>
          <w:ilvl w:val="0"/>
          <w:numId w:val="1015"/>
        </w:numPr>
        <w:pStyle w:val="Compact"/>
      </w:pPr>
      <w:r>
        <w:rPr>
          <w:b/>
        </w:rPr>
        <w:t xml:space="preserve">Environmental Impact Assessments (EIAs):</w:t>
      </w:r>
      <w:r>
        <w:t xml:space="preserve"> </w:t>
      </w:r>
      <w:r>
        <w:t xml:space="preserve">Requires maritime projects (T) to demonstrate compatibility with marine thresholds (M) and to undergo transparent, science-based review (O).</w:t>
      </w:r>
    </w:p>
    <w:p>
      <w:pPr>
        <w:numPr>
          <w:ilvl w:val="0"/>
          <w:numId w:val="1015"/>
        </w:numPr>
        <w:pStyle w:val="Compact"/>
      </w:pPr>
      <w:r>
        <w:rPr>
          <w:b/>
        </w:rPr>
        <w:t xml:space="preserve">Capacity-building and technology transfer:</w:t>
      </w:r>
      <w:r>
        <w:t xml:space="preserve"> </w:t>
      </w:r>
      <w:r>
        <w:t xml:space="preserve">Addresses asymmetries in O (knowledge, governance capacity) to enable equitable participation in blue governance.</w:t>
      </w:r>
    </w:p>
    <w:p>
      <w:pPr>
        <w:pStyle w:val="Nagwek3"/>
      </w:pPr>
      <w:bookmarkStart w:id="45" w:name="X61d47a65dbccaa628468e63b88b00635ff92065"/>
      <w:r>
        <w:t xml:space="preserve">5.2 BBNJ as a Test Case for TMBD’s Predictive Power</w:t>
      </w:r>
      <w:bookmarkEnd w:id="45"/>
    </w:p>
    <w:p>
      <w:pPr>
        <w:pStyle w:val="FirstParagraph"/>
      </w:pPr>
      <w:r>
        <w:t xml:space="preserve">The BBNJ Agreement allows us to test TMBD’s analytical power. The model predicts that the treaty’s effectiveness will depend on:</w:t>
      </w:r>
    </w:p>
    <w:p>
      <w:pPr>
        <w:numPr>
          <w:ilvl w:val="0"/>
          <w:numId w:val="1016"/>
        </w:numPr>
        <w:pStyle w:val="Compact"/>
      </w:pPr>
      <w:r>
        <w:rPr>
          <w:b/>
        </w:rPr>
        <w:t xml:space="preserve">M-axis enforcement:</w:t>
      </w:r>
      <w:r>
        <w:t xml:space="preserve"> </w:t>
      </w:r>
      <w:r>
        <w:t xml:space="preserve">Whether MPAs and EIAs are backed by monitoring and compliance mechanisms (e.g., satellite surveillance, port-state measures).</w:t>
      </w:r>
    </w:p>
    <w:p>
      <w:pPr>
        <w:numPr>
          <w:ilvl w:val="0"/>
          <w:numId w:val="1016"/>
        </w:numPr>
        <w:pStyle w:val="Compact"/>
      </w:pPr>
      <w:r>
        <w:rPr>
          <w:b/>
        </w:rPr>
        <w:t xml:space="preserve">T-axis adaptation:</w:t>
      </w:r>
      <w:r>
        <w:t xml:space="preserve"> </w:t>
      </w:r>
      <w:r>
        <w:t xml:space="preserve">Whether maritime industries (shipping, fishing, biotech) internalize new constraints or capture the governance process.</w:t>
      </w:r>
    </w:p>
    <w:p>
      <w:pPr>
        <w:numPr>
          <w:ilvl w:val="0"/>
          <w:numId w:val="1016"/>
        </w:numPr>
        <w:pStyle w:val="Compact"/>
      </w:pPr>
      <w:r>
        <w:rPr>
          <w:b/>
        </w:rPr>
        <w:t xml:space="preserve">O-axis legitimacy:</w:t>
      </w:r>
      <w:r>
        <w:t xml:space="preserve"> </w:t>
      </w:r>
      <w:r>
        <w:t xml:space="preserve">Whether the treaty’s institutions (Conference of Parties, Scientific and Technical Body, Clearing-House Mechanism) achieve procedural justice and inclusive participation, especially for Small Island Developing States (SIDS) and indigenous communities.</w:t>
      </w:r>
    </w:p>
    <w:p>
      <w:pPr>
        <w:pStyle w:val="FirstParagraph"/>
      </w:pPr>
      <w:r>
        <w:t xml:space="preserve">Early implementation challenges—such as disputes over EIA thresholds, benefit-sharing formulas, and capacity-building finance—can be interpreted through TMBD as</w:t>
      </w:r>
      <w:r>
        <w:t xml:space="preserve"> </w:t>
      </w:r>
      <w:r>
        <w:rPr>
          <w:b/>
        </w:rPr>
        <w:t xml:space="preserve">O-axis legitimacy deficits</w:t>
      </w:r>
      <w:r>
        <w:t xml:space="preserve"> </w:t>
      </w:r>
      <w:r>
        <w:t xml:space="preserve">that threaten to undermine M-axis protection and T-axis compliance. The framework thus provides a diagnostic tool for identifying governance bottlenecks and designing interventions.</w:t>
      </w:r>
    </w:p>
    <w:p>
      <w:pPr>
        <w:pStyle w:val="Nagwek3"/>
      </w:pPr>
      <w:bookmarkStart w:id="46" w:name="X9e0b50e7135bba7f963ee025bad0629391352a0"/>
      <w:r>
        <w:t xml:space="preserve">5.3 Trans-Oceanisation Beyond BBNJ: The</w:t>
      </w:r>
      <w:r>
        <w:t xml:space="preserve"> </w:t>
      </w:r>
      <w:r>
        <w:t xml:space="preserve">“</w:t>
      </w:r>
      <w:r>
        <w:t xml:space="preserve">One Ocean</w:t>
      </w:r>
      <w:r>
        <w:t xml:space="preserve">”</w:t>
      </w:r>
      <w:r>
        <w:t xml:space="preserve"> </w:t>
      </w:r>
      <w:r>
        <w:t xml:space="preserve">Agenda</w:t>
      </w:r>
      <w:bookmarkEnd w:id="46"/>
    </w:p>
    <w:p>
      <w:pPr>
        <w:pStyle w:val="FirstParagraph"/>
      </w:pPr>
      <w:r>
        <w:t xml:space="preserve">The BBNJ Agreement is one element of a broader</w:t>
      </w:r>
      <w:r>
        <w:t xml:space="preserve"> </w:t>
      </w:r>
      <w:r>
        <w:t xml:space="preserve">“</w:t>
      </w:r>
      <w:r>
        <w:t xml:space="preserve">One Ocean</w:t>
      </w:r>
      <w:r>
        <w:t xml:space="preserve">”</w:t>
      </w:r>
      <w:r>
        <w:t xml:space="preserve"> </w:t>
      </w:r>
      <w:r>
        <w:t xml:space="preserve">agenda articulated in the Brest Commitments (2022) and other multilateral forums. These commitments—</w:t>
      </w:r>
      <w:r>
        <w:t xml:space="preserve">“</w:t>
      </w:r>
      <w:r>
        <w:t xml:space="preserve">to put a stop to the degradation of the Oceans, preserve biodiversity, stop overexploitation, fight pollution and mitigate climate change</w:t>
      </w:r>
      <w:r>
        <w:t xml:space="preserve">”</w:t>
      </w:r>
      <w:r>
        <w:t xml:space="preserve">—provide the normative impetus for Trans-oceanisation.</w:t>
      </w:r>
    </w:p>
    <w:p>
      <w:pPr>
        <w:pStyle w:val="BodyText"/>
      </w:pPr>
      <w:r>
        <w:t xml:space="preserve">TMBD interprets</w:t>
      </w:r>
      <w:r>
        <w:t xml:space="preserve"> </w:t>
      </w:r>
      <w:r>
        <w:t xml:space="preserve">“</w:t>
      </w:r>
      <w:r>
        <w:t xml:space="preserve">One Ocean</w:t>
      </w:r>
      <w:r>
        <w:t xml:space="preserve">”</w:t>
      </w:r>
      <w:r>
        <w:t xml:space="preserve"> </w:t>
      </w:r>
      <w:r>
        <w:t xml:space="preserve">not as a metaphor but as a</w:t>
      </w:r>
      <w:r>
        <w:t xml:space="preserve"> </w:t>
      </w:r>
      <w:r>
        <w:rPr>
          <w:b/>
        </w:rPr>
        <w:t xml:space="preserve">governance imperative</w:t>
      </w:r>
      <w:r>
        <w:t xml:space="preserve">: because marine processes (M) are globally coupled and maritime activities (T) have transboundary impacts, only a planetary-scale Oceanic (O) layer can coordinate sustainable Blue Value. This requires:</w:t>
      </w:r>
    </w:p>
    <w:p>
      <w:pPr>
        <w:numPr>
          <w:ilvl w:val="0"/>
          <w:numId w:val="1017"/>
        </w:numPr>
        <w:pStyle w:val="Compact"/>
      </w:pPr>
      <w:r>
        <w:rPr>
          <w:b/>
        </w:rPr>
        <w:t xml:space="preserve">Polycentric governance:</w:t>
      </w:r>
      <w:r>
        <w:t xml:space="preserve"> </w:t>
      </w:r>
      <w:r>
        <w:t xml:space="preserve">Nested institutions from local (community-based MPAs) to regional (Regional Seas Conventions) to global (BBNJ, IMO, FAO).</w:t>
      </w:r>
    </w:p>
    <w:p>
      <w:pPr>
        <w:numPr>
          <w:ilvl w:val="0"/>
          <w:numId w:val="1017"/>
        </w:numPr>
        <w:pStyle w:val="Compact"/>
      </w:pPr>
      <w:r>
        <w:rPr>
          <w:b/>
        </w:rPr>
        <w:t xml:space="preserve">Data-to-decision infrastructures:</w:t>
      </w:r>
      <w:r>
        <w:t xml:space="preserve"> </w:t>
      </w:r>
      <w:r>
        <w:t xml:space="preserve">Platforms like GEO Blue Planet that</w:t>
      </w:r>
      <w:r>
        <w:t xml:space="preserve"> </w:t>
      </w:r>
      <w:r>
        <w:t xml:space="preserve">“</w:t>
      </w:r>
      <w:r>
        <w:t xml:space="preserve">leverage ocean and coastal data to inform policy and decision-making, ensuring that observation and prediction are translated into actionable knowledge</w:t>
      </w:r>
      <w:r>
        <w:t xml:space="preserve">”</w:t>
      </w:r>
      <w:r>
        <w:t xml:space="preserve"> </w:t>
      </w:r>
      <w:r>
        <w:t xml:space="preserve">(GEO Blue Planet, 2023).</w:t>
      </w:r>
    </w:p>
    <w:p>
      <w:pPr>
        <w:numPr>
          <w:ilvl w:val="0"/>
          <w:numId w:val="1017"/>
        </w:numPr>
        <w:pStyle w:val="Compact"/>
      </w:pPr>
      <w:r>
        <w:rPr>
          <w:b/>
        </w:rPr>
        <w:t xml:space="preserve">Ocean diplomacy:</w:t>
      </w:r>
      <w:r>
        <w:t xml:space="preserve"> </w:t>
      </w:r>
      <w:r>
        <w:t xml:space="preserve">Sustained political will to prioritize long-term ocean health over short-term sectoral interests.</w:t>
      </w:r>
    </w:p>
    <w:p>
      <w:r>
        <w:pict>
          <v:rect style="width:0;height:1.5pt" o:hralign="center" o:hrstd="t" o:hr="t"/>
        </w:pict>
      </w:r>
    </w:p>
    <w:p>
      <w:pPr>
        <w:pStyle w:val="Nagwek2"/>
      </w:pPr>
      <w:bookmarkStart w:id="47" w:name="X474af5446a2774209c57531448127708d670ca2"/>
      <w:r>
        <w:t xml:space="preserve">6. Operationalizing TMBD: The</w:t>
      </w:r>
      <w:r>
        <w:t xml:space="preserve"> </w:t>
      </w:r>
      <w:r>
        <w:t xml:space="preserve">“</w:t>
      </w:r>
      <w:r>
        <w:t xml:space="preserve">AWARE-CARE-SHARE</w:t>
      </w:r>
      <w:r>
        <w:t xml:space="preserve">”</w:t>
      </w:r>
      <w:r>
        <w:t xml:space="preserve"> </w:t>
      </w:r>
      <w:r>
        <w:t xml:space="preserve">Manifesto and Ocean Literacy</w:t>
      </w:r>
      <w:bookmarkEnd w:id="47"/>
    </w:p>
    <w:p>
      <w:pPr>
        <w:pStyle w:val="Nagwek3"/>
      </w:pPr>
      <w:bookmarkStart w:id="48" w:name="Xc7e9eb553707703bd69e3c6bee25087a96cfbb1"/>
      <w:r>
        <w:t xml:space="preserve">6.1 Ocean Literacy as the Foundation of the O-Axis</w:t>
      </w:r>
      <w:bookmarkEnd w:id="48"/>
    </w:p>
    <w:p>
      <w:pPr>
        <w:pStyle w:val="FirstParagraph"/>
      </w:pPr>
      <w:r>
        <w:t xml:space="preserve">UNESCO defines ocean literacy as</w:t>
      </w:r>
      <w:r>
        <w:t xml:space="preserve"> </w:t>
      </w:r>
      <w:r>
        <w:t xml:space="preserve">“</w:t>
      </w:r>
      <w:r>
        <w:t xml:space="preserve">the understanding of how the ocean affects us—and how we affect the ocean</w:t>
      </w:r>
      <w:r>
        <w:t xml:space="preserve">”</w:t>
      </w:r>
      <w:r>
        <w:t xml:space="preserve"> </w:t>
      </w:r>
      <w:r>
        <w:t xml:space="preserve">(UNESCO, 2023). This reflexive capacity is the</w:t>
      </w:r>
      <w:r>
        <w:t xml:space="preserve"> </w:t>
      </w:r>
      <w:r>
        <w:rPr>
          <w:i/>
        </w:rPr>
        <w:t xml:space="preserve">minimal operational definition</w:t>
      </w:r>
      <w:r>
        <w:t xml:space="preserve"> </w:t>
      </w:r>
      <w:r>
        <w:t xml:space="preserve">of the Oceanic (O) axis. Without ocean literacy, societies cannot perceive the coupled ocean–society system, let alone govern it sustainably.</w:t>
      </w:r>
    </w:p>
    <w:p>
      <w:pPr>
        <w:pStyle w:val="BodyText"/>
      </w:pPr>
      <w:r>
        <w:t xml:space="preserve">Ocean literacy has multiple dimensions:</w:t>
      </w:r>
    </w:p>
    <w:p>
      <w:pPr>
        <w:numPr>
          <w:ilvl w:val="0"/>
          <w:numId w:val="1018"/>
        </w:numPr>
        <w:pStyle w:val="Compact"/>
      </w:pPr>
      <w:r>
        <w:rPr>
          <w:b/>
        </w:rPr>
        <w:t xml:space="preserve">Scientific literacy:</w:t>
      </w:r>
      <w:r>
        <w:t xml:space="preserve"> </w:t>
      </w:r>
      <w:r>
        <w:t xml:space="preserve">Understanding ocean processes, biodiversity, and climate coupling.</w:t>
      </w:r>
    </w:p>
    <w:p>
      <w:pPr>
        <w:numPr>
          <w:ilvl w:val="0"/>
          <w:numId w:val="1018"/>
        </w:numPr>
        <w:pStyle w:val="Compact"/>
      </w:pPr>
      <w:r>
        <w:rPr>
          <w:b/>
        </w:rPr>
        <w:t xml:space="preserve">Cultural literacy:</w:t>
      </w:r>
      <w:r>
        <w:t xml:space="preserve"> </w:t>
      </w:r>
      <w:r>
        <w:t xml:space="preserve">Recognizing diverse relationships with the sea (indigenous knowledge, maritime heritage, coastal livelihoods).</w:t>
      </w:r>
    </w:p>
    <w:p>
      <w:pPr>
        <w:numPr>
          <w:ilvl w:val="0"/>
          <w:numId w:val="1018"/>
        </w:numPr>
        <w:pStyle w:val="Compact"/>
      </w:pPr>
      <w:r>
        <w:rPr>
          <w:b/>
        </w:rPr>
        <w:t xml:space="preserve">Political literacy:</w:t>
      </w:r>
      <w:r>
        <w:t xml:space="preserve"> </w:t>
      </w:r>
      <w:r>
        <w:t xml:space="preserve">Knowing how ocean governance works and how to participate in it.</w:t>
      </w:r>
    </w:p>
    <w:p>
      <w:pPr>
        <w:pStyle w:val="FirstParagraph"/>
      </w:pPr>
      <w:r>
        <w:t xml:space="preserve">TMBD treats ocean literacy not as an educational add-on but as a</w:t>
      </w:r>
      <w:r>
        <w:t xml:space="preserve"> </w:t>
      </w:r>
      <w:r>
        <w:rPr>
          <w:b/>
        </w:rPr>
        <w:t xml:space="preserve">governance infrastructure</w:t>
      </w:r>
      <w:r>
        <w:t xml:space="preserve">: it is the societal competence that enables O to integrate M and T. Investments in ocean literacy (e.g., Priority 4 of the European Ocean Pact) are thus investments in the</w:t>
      </w:r>
      <w:r>
        <w:t xml:space="preserve"> </w:t>
      </w:r>
      <w:r>
        <w:rPr>
          <w:i/>
        </w:rPr>
        <w:t xml:space="preserve">reflexive capacity</w:t>
      </w:r>
      <w:r>
        <w:t xml:space="preserve"> </w:t>
      </w:r>
      <w:r>
        <w:t xml:space="preserve">of the blue governance system.</w:t>
      </w:r>
    </w:p>
    <w:p>
      <w:pPr>
        <w:pStyle w:val="Nagwek3"/>
      </w:pPr>
      <w:bookmarkStart w:id="49" w:name="the-aware-care-share-framework"/>
      <w:r>
        <w:t xml:space="preserve">6.2 The</w:t>
      </w:r>
      <w:r>
        <w:t xml:space="preserve"> </w:t>
      </w:r>
      <w:r>
        <w:t xml:space="preserve">“</w:t>
      </w:r>
      <w:r>
        <w:t xml:space="preserve">AWARE-CARE-SHARE</w:t>
      </w:r>
      <w:r>
        <w:t xml:space="preserve">”</w:t>
      </w:r>
      <w:r>
        <w:t xml:space="preserve"> </w:t>
      </w:r>
      <w:r>
        <w:t xml:space="preserve">Framework</w:t>
      </w:r>
      <w:bookmarkEnd w:id="49"/>
    </w:p>
    <w:p>
      <w:pPr>
        <w:pStyle w:val="FirstParagraph"/>
      </w:pPr>
      <w:r>
        <w:t xml:space="preserve">The</w:t>
      </w:r>
      <w:r>
        <w:t xml:space="preserve"> </w:t>
      </w:r>
      <w:r>
        <w:t xml:space="preserve">“</w:t>
      </w:r>
      <w:r>
        <w:t xml:space="preserve">One Ocean</w:t>
      </w:r>
      <w:r>
        <w:t xml:space="preserve">”</w:t>
      </w:r>
      <w:r>
        <w:t xml:space="preserve"> </w:t>
      </w:r>
      <w:r>
        <w:t xml:space="preserve">manifesto articulates a three-part program:</w:t>
      </w:r>
      <w:r>
        <w:t xml:space="preserve"> </w:t>
      </w:r>
      <w:r>
        <w:rPr>
          <w:b/>
        </w:rPr>
        <w:t xml:space="preserve">“</w:t>
      </w:r>
      <w:r>
        <w:rPr>
          <w:b/>
        </w:rPr>
        <w:t xml:space="preserve">AWARE – CARE – SHARE … let us oceanize our minds</w:t>
      </w:r>
      <w:r>
        <w:rPr>
          <w:b/>
        </w:rPr>
        <w:t xml:space="preserve">”</w:t>
      </w:r>
      <w:r>
        <w:t xml:space="preserve"> </w:t>
      </w:r>
      <w:r>
        <w:t xml:space="preserve">(Brest Commitments and related declarations). TMBD makes this manifesto operational by specifying what each component must mean across the M, T, and O axes:</w:t>
      </w:r>
    </w:p>
    <w:p>
      <w:pPr>
        <w:pStyle w:val="BodyText"/>
      </w:pPr>
      <w:r>
        <w:rPr>
          <w:b/>
        </w:rPr>
        <w:t xml:space="preserve">AWARE (Oceanic literacy and recognition)</w:t>
      </w:r>
      <w:r>
        <w:t xml:space="preserve"> </w:t>
      </w:r>
      <w:r>
        <w:t xml:space="preserve">-</w:t>
      </w:r>
      <w:r>
        <w:t xml:space="preserve"> </w:t>
      </w:r>
      <w:r>
        <w:rPr>
          <w:b/>
        </w:rPr>
        <w:t xml:space="preserve">M-dimension:</w:t>
      </w:r>
      <w:r>
        <w:t xml:space="preserve"> </w:t>
      </w:r>
      <w:r>
        <w:t xml:space="preserve">Awareness of marine thresholds, tipping points, and planetary boundaries.</w:t>
      </w:r>
      <w:r>
        <w:t xml:space="preserve"> </w:t>
      </w:r>
      <w:r>
        <w:t xml:space="preserve">-</w:t>
      </w:r>
      <w:r>
        <w:t xml:space="preserve"> </w:t>
      </w:r>
      <w:r>
        <w:rPr>
          <w:b/>
        </w:rPr>
        <w:t xml:space="preserve">T-dimension:</w:t>
      </w:r>
      <w:r>
        <w:t xml:space="preserve"> </w:t>
      </w:r>
      <w:r>
        <w:t xml:space="preserve">Awareness of maritime impacts (pollution, extraction, displacement) and alternatives.</w:t>
      </w:r>
      <w:r>
        <w:t xml:space="preserve"> </w:t>
      </w:r>
      <w:r>
        <w:t xml:space="preserve">-</w:t>
      </w:r>
      <w:r>
        <w:t xml:space="preserve"> </w:t>
      </w:r>
      <w:r>
        <w:rPr>
          <w:b/>
        </w:rPr>
        <w:t xml:space="preserve">O-dimension:</w:t>
      </w:r>
      <w:r>
        <w:t xml:space="preserve"> </w:t>
      </w:r>
      <w:r>
        <w:t xml:space="preserve">Awareness of transboundary coupling and one’s position in the global ocean–society system.</w:t>
      </w:r>
    </w:p>
    <w:p>
      <w:pPr>
        <w:pStyle w:val="BodyText"/>
      </w:pPr>
      <w:r>
        <w:rPr>
          <w:b/>
        </w:rPr>
        <w:t xml:space="preserve">CARE (Stewardship and responsibility)</w:t>
      </w:r>
      <w:r>
        <w:t xml:space="preserve"> </w:t>
      </w:r>
      <w:r>
        <w:t xml:space="preserve">-</w:t>
      </w:r>
      <w:r>
        <w:t xml:space="preserve"> </w:t>
      </w:r>
      <w:r>
        <w:rPr>
          <w:b/>
        </w:rPr>
        <w:t xml:space="preserve">M-dimension:</w:t>
      </w:r>
      <w:r>
        <w:t xml:space="preserve"> </w:t>
      </w:r>
      <w:r>
        <w:t xml:space="preserve">Care for biophysical integrity through restoration, protection, and pollution reduction (Re-marinisation).</w:t>
      </w:r>
      <w:r>
        <w:t xml:space="preserve"> </w:t>
      </w:r>
      <w:r>
        <w:t xml:space="preserve">-</w:t>
      </w:r>
      <w:r>
        <w:t xml:space="preserve"> </w:t>
      </w:r>
      <w:r>
        <w:rPr>
          <w:b/>
        </w:rPr>
        <w:t xml:space="preserve">T-dimension:</w:t>
      </w:r>
      <w:r>
        <w:t xml:space="preserve"> </w:t>
      </w:r>
      <w:r>
        <w:t xml:space="preserve">Care for maritime communities through just transitions, participatory governance, and dignified work (Re-maritimisation).</w:t>
      </w:r>
      <w:r>
        <w:t xml:space="preserve"> </w:t>
      </w:r>
      <w:r>
        <w:t xml:space="preserve">-</w:t>
      </w:r>
      <w:r>
        <w:t xml:space="preserve"> </w:t>
      </w:r>
      <w:r>
        <w:rPr>
          <w:b/>
        </w:rPr>
        <w:t xml:space="preserve">O-dimension:</w:t>
      </w:r>
      <w:r>
        <w:t xml:space="preserve"> </w:t>
      </w:r>
      <w:r>
        <w:t xml:space="preserve">Care for the</w:t>
      </w:r>
      <w:r>
        <w:t xml:space="preserve"> </w:t>
      </w:r>
      <w:r>
        <w:t xml:space="preserve">“</w:t>
      </w:r>
      <w:r>
        <w:t xml:space="preserve">one ocean</w:t>
      </w:r>
      <w:r>
        <w:t xml:space="preserve">”</w:t>
      </w:r>
      <w:r>
        <w:t xml:space="preserve"> </w:t>
      </w:r>
      <w:r>
        <w:t xml:space="preserve">through treaty compliance, capacity-building, and cross-border cooperation (Re-oceanisation).</w:t>
      </w:r>
    </w:p>
    <w:p>
      <w:pPr>
        <w:pStyle w:val="BodyText"/>
      </w:pPr>
      <w:r>
        <w:rPr>
          <w:b/>
        </w:rPr>
        <w:t xml:space="preserve">SHARE (Distributive and procedural justice)</w:t>
      </w:r>
      <w:r>
        <w:t xml:space="preserve"> </w:t>
      </w:r>
      <w:r>
        <w:t xml:space="preserve">-</w:t>
      </w:r>
      <w:r>
        <w:t xml:space="preserve"> </w:t>
      </w:r>
      <w:r>
        <w:rPr>
          <w:b/>
        </w:rPr>
        <w:t xml:space="preserve">M-dimension:</w:t>
      </w:r>
      <w:r>
        <w:t xml:space="preserve"> </w:t>
      </w:r>
      <w:r>
        <w:t xml:space="preserve">Share the benefits of ecosystem services (blue carbon, coastal protection, fisheries) and the burdens of conservation (e.g., no-take zones) equitably.</w:t>
      </w:r>
      <w:r>
        <w:t xml:space="preserve"> </w:t>
      </w:r>
      <w:r>
        <w:t xml:space="preserve">-</w:t>
      </w:r>
      <w:r>
        <w:t xml:space="preserve"> </w:t>
      </w:r>
      <w:r>
        <w:rPr>
          <w:b/>
        </w:rPr>
        <w:t xml:space="preserve">T-dimension:</w:t>
      </w:r>
      <w:r>
        <w:t xml:space="preserve"> </w:t>
      </w:r>
      <w:r>
        <w:t xml:space="preserve">Share maritime opportunities (jobs, infrastructure, innovation) and risks (displacement, accidents, climate impacts) fairly, with procedural voice for affected communities.</w:t>
      </w:r>
      <w:r>
        <w:t xml:space="preserve"> </w:t>
      </w:r>
      <w:r>
        <w:t xml:space="preserve">-</w:t>
      </w:r>
      <w:r>
        <w:t xml:space="preserve"> </w:t>
      </w:r>
      <w:r>
        <w:rPr>
          <w:b/>
        </w:rPr>
        <w:t xml:space="preserve">O-dimension:</w:t>
      </w:r>
      <w:r>
        <w:t xml:space="preserve"> </w:t>
      </w:r>
      <w:r>
        <w:t xml:space="preserve">Share knowledge (data, technology, capacity) and governance power (voting rights, agenda-setting, benefit-sharing from marine genetic resources) across asymmetries of wealth and capacity.</w:t>
      </w:r>
    </w:p>
    <w:p>
      <w:pPr>
        <w:pStyle w:val="BodyText"/>
      </w:pPr>
      <w:r>
        <w:rPr>
          <w:b/>
        </w:rPr>
        <w:t xml:space="preserve">Key insight:</w:t>
      </w:r>
      <w:r>
        <w:t xml:space="preserve"> </w:t>
      </w:r>
      <w:r>
        <w:t xml:space="preserve">TMBD defines</w:t>
      </w:r>
      <w:r>
        <w:t xml:space="preserve"> </w:t>
      </w:r>
      <w:r>
        <w:rPr>
          <w:b/>
        </w:rPr>
        <w:t xml:space="preserve">SHARE</w:t>
      </w:r>
      <w:r>
        <w:t xml:space="preserve"> </w:t>
      </w:r>
      <w:r>
        <w:t xml:space="preserve">not just as profit-sharing but as</w:t>
      </w:r>
      <w:r>
        <w:t xml:space="preserve"> </w:t>
      </w:r>
      <w:r>
        <w:rPr>
          <w:b/>
        </w:rPr>
        <w:t xml:space="preserve">distributive and procedural justice</w:t>
      </w:r>
      <w:r>
        <w:t xml:space="preserve"> </w:t>
      </w:r>
      <w:r>
        <w:t xml:space="preserve">across all three axes—sharing benefits, risks, and</w:t>
      </w:r>
      <w:r>
        <w:t xml:space="preserve"> </w:t>
      </w:r>
      <w:r>
        <w:t xml:space="preserve">“</w:t>
      </w:r>
      <w:r>
        <w:t xml:space="preserve">voice</w:t>
      </w:r>
      <w:r>
        <w:t xml:space="preserve">”</w:t>
      </w:r>
      <w:r>
        <w:t xml:space="preserve"> </w:t>
      </w:r>
      <w:r>
        <w:t xml:space="preserve">for non-humans and future generations. This is the operational content of</w:t>
      </w:r>
      <w:r>
        <w:t xml:space="preserve"> </w:t>
      </w:r>
      <w:r>
        <w:t xml:space="preserve">“</w:t>
      </w:r>
      <w:r>
        <w:t xml:space="preserve">Trans-</w:t>
      </w:r>
      <w:r>
        <w:t xml:space="preserve">”</w:t>
      </w:r>
      <w:r>
        <w:t xml:space="preserve"> </w:t>
      </w:r>
      <w:r>
        <w:t xml:space="preserve">mechanisms: they enforce sharing and prevent cost-shifting.</w:t>
      </w:r>
    </w:p>
    <w:p>
      <w:pPr>
        <w:pStyle w:val="Nagwek3"/>
      </w:pPr>
      <w:bookmarkStart w:id="50" w:name="X6c35da4f072f53411965f13265d5ff81c48be3c"/>
      <w:r>
        <w:t xml:space="preserve">6.3</w:t>
      </w:r>
      <w:r>
        <w:t xml:space="preserve"> </w:t>
      </w:r>
      <w:r>
        <w:t xml:space="preserve">“</w:t>
      </w:r>
      <w:r>
        <w:t xml:space="preserve">Oceanize Our Minds</w:t>
      </w:r>
      <w:r>
        <w:t xml:space="preserve">”</w:t>
      </w:r>
      <w:r>
        <w:t xml:space="preserve">: From Metaphor to Method</w:t>
      </w:r>
      <w:bookmarkEnd w:id="50"/>
    </w:p>
    <w:p>
      <w:pPr>
        <w:pStyle w:val="FirstParagraph"/>
      </w:pPr>
      <w:r>
        <w:t xml:space="preserve">The call to</w:t>
      </w:r>
      <w:r>
        <w:t xml:space="preserve"> </w:t>
      </w:r>
      <w:r>
        <w:t xml:space="preserve">“</w:t>
      </w:r>
      <w:r>
        <w:t xml:space="preserve">oceanize our minds</w:t>
      </w:r>
      <w:r>
        <w:t xml:space="preserve">”</w:t>
      </w:r>
      <w:r>
        <w:t xml:space="preserve"> </w:t>
      </w:r>
      <w:r>
        <w:t xml:space="preserve">is often treated as poetic rhetoric. TMBD transforms it into a</w:t>
      </w:r>
      <w:r>
        <w:t xml:space="preserve"> </w:t>
      </w:r>
      <w:r>
        <w:rPr>
          <w:b/>
        </w:rPr>
        <w:t xml:space="preserve">methodological program</w:t>
      </w:r>
      <w:r>
        <w:t xml:space="preserve">:</w:t>
      </w:r>
    </w:p>
    <w:p>
      <w:pPr>
        <w:numPr>
          <w:ilvl w:val="0"/>
          <w:numId w:val="1019"/>
        </w:numPr>
        <w:pStyle w:val="Compact"/>
      </w:pPr>
      <w:r>
        <w:rPr>
          <w:b/>
        </w:rPr>
        <w:t xml:space="preserve">Epistemological shift:</w:t>
      </w:r>
      <w:r>
        <w:t xml:space="preserve"> </w:t>
      </w:r>
      <w:r>
        <w:t xml:space="preserve">From terrestrial/sectoral thinking to hydrosocial/systemic thinking (recognizing that water, bodies, and territories are coupled).</w:t>
      </w:r>
    </w:p>
    <w:p>
      <w:pPr>
        <w:numPr>
          <w:ilvl w:val="0"/>
          <w:numId w:val="1019"/>
        </w:numPr>
        <w:pStyle w:val="Compact"/>
      </w:pPr>
      <w:r>
        <w:rPr>
          <w:b/>
        </w:rPr>
        <w:t xml:space="preserve">Scalar shift:</w:t>
      </w:r>
      <w:r>
        <w:t xml:space="preserve"> </w:t>
      </w:r>
      <w:r>
        <w:t xml:space="preserve">From national/regional to planetary governance (recognizing that ABNJ and climate coupling require global coordination).</w:t>
      </w:r>
    </w:p>
    <w:p>
      <w:pPr>
        <w:numPr>
          <w:ilvl w:val="0"/>
          <w:numId w:val="1019"/>
        </w:numPr>
        <w:pStyle w:val="Compact"/>
      </w:pPr>
      <w:r>
        <w:rPr>
          <w:b/>
        </w:rPr>
        <w:t xml:space="preserve">Ontological shift:</w:t>
      </w:r>
      <w:r>
        <w:t xml:space="preserve"> </w:t>
      </w:r>
      <w:r>
        <w:t xml:space="preserve">From instrumental to relational ethics (recognizing the ocean’s agency and intrinsic value, not just its utility).</w:t>
      </w:r>
    </w:p>
    <w:p>
      <w:pPr>
        <w:pStyle w:val="FirstParagraph"/>
      </w:pPr>
      <w:r>
        <w:t xml:space="preserve">“</w:t>
      </w:r>
      <w:r>
        <w:t xml:space="preserve">Oceanizing our minds</w:t>
      </w:r>
      <w:r>
        <w:t xml:space="preserve">”</w:t>
      </w:r>
      <w:r>
        <w:t xml:space="preserve"> </w:t>
      </w:r>
      <w:r>
        <w:t xml:space="preserve">thus means internalizing the O-axis—developing the reflexive capacity to govern the M-T coupling sustainably. It is both a cultural project (ocean literacy, blue citizenship) and an institutional project (data infrastructures, participatory governance, treaty implementation).</w:t>
      </w:r>
    </w:p>
    <w:p>
      <w:r>
        <w:pict>
          <v:rect style="width:0;height:1.5pt" o:hralign="center" o:hrstd="t" o:hr="t"/>
        </w:pict>
      </w:r>
    </w:p>
    <w:p>
      <w:pPr>
        <w:pStyle w:val="Nagwek2"/>
      </w:pPr>
      <w:bookmarkStart w:id="51" w:name="X56291c4977090cba217fdc4a978e1932709b4d9"/>
      <w:r>
        <w:t xml:space="preserve">7. Synthesis: TMBD as a Sociological Theory of Sustainable Blue Value</w:t>
      </w:r>
      <w:bookmarkEnd w:id="51"/>
    </w:p>
    <w:p>
      <w:pPr>
        <w:pStyle w:val="Nagwek3"/>
      </w:pPr>
      <w:bookmarkStart w:id="52" w:name="theoretical-contributions"/>
      <w:r>
        <w:t xml:space="preserve">7.1 Theoretical Contributions</w:t>
      </w:r>
      <w:bookmarkEnd w:id="52"/>
    </w:p>
    <w:p>
      <w:pPr>
        <w:pStyle w:val="FirstParagraph"/>
      </w:pPr>
      <w:r>
        <w:t xml:space="preserve">TMBD makes three core theoretical contributions to maritime sociology and blue economy scholarship:</w:t>
      </w:r>
    </w:p>
    <w:p>
      <w:pPr>
        <w:pStyle w:val="BodyText"/>
      </w:pPr>
      <w:r>
        <w:rPr>
          <w:b/>
        </w:rPr>
        <w:t xml:space="preserve">1. Extension of Janiszewski’s semi-determinism for the Anthropocene</w:t>
      </w:r>
      <w:r>
        <w:t xml:space="preserve"> </w:t>
      </w:r>
      <w:r>
        <w:t xml:space="preserve">- Retains the two-factor engine (Marine and Maritime) while adding a third, integrative Oceanic dimension that captures planetary entanglement, transcorporeal vulnerability, and cross-border governance.</w:t>
      </w:r>
      <w:r>
        <w:t xml:space="preserve"> </w:t>
      </w:r>
      <w:r>
        <w:t xml:space="preserve">- Moves from a</w:t>
      </w:r>
      <w:r>
        <w:t xml:space="preserve"> </w:t>
      </w:r>
      <w:r>
        <w:rPr>
          <w:i/>
        </w:rPr>
        <w:t xml:space="preserve">national/regional</w:t>
      </w:r>
      <w:r>
        <w:t xml:space="preserve"> </w:t>
      </w:r>
      <w:r>
        <w:t xml:space="preserve">framework to a</w:t>
      </w:r>
      <w:r>
        <w:t xml:space="preserve"> </w:t>
      </w:r>
      <w:r>
        <w:rPr>
          <w:i/>
        </w:rPr>
        <w:t xml:space="preserve">planetary</w:t>
      </w:r>
      <w:r>
        <w:t xml:space="preserve"> </w:t>
      </w:r>
      <w:r>
        <w:t xml:space="preserve">framework without losing the specificity of place-based maritime cultures.</w:t>
      </w:r>
    </w:p>
    <w:p>
      <w:pPr>
        <w:pStyle w:val="BodyText"/>
      </w:pPr>
      <w:r>
        <w:rPr>
          <w:b/>
        </w:rPr>
        <w:t xml:space="preserve">2. Formalization of</w:t>
      </w:r>
      <w:r>
        <w:rPr>
          <w:b/>
        </w:rPr>
        <w:t xml:space="preserve"> </w:t>
      </w:r>
      <w:r>
        <w:rPr>
          <w:b/>
        </w:rPr>
        <w:t xml:space="preserve">“</w:t>
      </w:r>
      <w:r>
        <w:rPr>
          <w:b/>
        </w:rPr>
        <w:t xml:space="preserve">Sustainable Blue Value</w:t>
      </w:r>
      <w:r>
        <w:rPr>
          <w:b/>
        </w:rPr>
        <w:t xml:space="preserve">”</w:t>
      </w:r>
      <w:r>
        <w:rPr>
          <w:b/>
        </w:rPr>
        <w:t xml:space="preserve"> </w:t>
      </w:r>
      <w:r>
        <w:rPr>
          <w:b/>
        </w:rPr>
        <w:t xml:space="preserve">as a three-way equilibrium</w:t>
      </w:r>
      <w:r>
        <w:t xml:space="preserve"> </w:t>
      </w:r>
      <w:r>
        <w:t xml:space="preserve">- Rejects the</w:t>
      </w:r>
      <w:r>
        <w:t xml:space="preserve"> </w:t>
      </w:r>
      <w:r>
        <w:t xml:space="preserve">“</w:t>
      </w:r>
      <w:r>
        <w:t xml:space="preserve">balance</w:t>
      </w:r>
      <w:r>
        <w:t xml:space="preserve">”</w:t>
      </w:r>
      <w:r>
        <w:t xml:space="preserve"> </w:t>
      </w:r>
      <w:r>
        <w:t xml:space="preserve">metaphor (which implies trade-offs) in favor of an</w:t>
      </w:r>
      <w:r>
        <w:t xml:space="preserve"> </w:t>
      </w:r>
      <w:r>
        <w:rPr>
          <w:i/>
        </w:rPr>
        <w:t xml:space="preserve">equilibrium</w:t>
      </w:r>
      <w:r>
        <w:t xml:space="preserve"> </w:t>
      </w:r>
      <w:r>
        <w:t xml:space="preserve">condition: Blue Value exists only when Re-M, Re-T, and Re-O co-occur under Trans- safeguards.</w:t>
      </w:r>
      <w:r>
        <w:t xml:space="preserve"> </w:t>
      </w:r>
      <w:r>
        <w:t xml:space="preserve">- Provides a measurable, operationalizable definition that can be tested empirically (via indicators in Section 4.3).</w:t>
      </w:r>
    </w:p>
    <w:p>
      <w:pPr>
        <w:pStyle w:val="BodyText"/>
      </w:pPr>
      <w:r>
        <w:rPr>
          <w:b/>
        </w:rPr>
        <w:t xml:space="preserve">3. Integration of justice and knowledge into the core model</w:t>
      </w:r>
      <w:r>
        <w:t xml:space="preserve"> </w:t>
      </w:r>
      <w:r>
        <w:t xml:space="preserve">- Unlike purely biophysical models (e.g., planetary boundaries) or purely economic models (e.g., natural capital accounting), TMBD treats</w:t>
      </w:r>
      <w:r>
        <w:t xml:space="preserve"> </w:t>
      </w:r>
      <w:r>
        <w:rPr>
          <w:i/>
        </w:rPr>
        <w:t xml:space="preserve">legitimacy, knowledge, and procedural justice</w:t>
      </w:r>
      <w:r>
        <w:t xml:space="preserve"> </w:t>
      </w:r>
      <w:r>
        <w:t xml:space="preserve">(the O-axis) as constitutive of sustainable value, not as external constraints.</w:t>
      </w:r>
      <w:r>
        <w:t xml:space="preserve"> </w:t>
      </w:r>
      <w:r>
        <w:t xml:space="preserve">- This makes TMBD a</w:t>
      </w:r>
      <w:r>
        <w:t xml:space="preserve"> </w:t>
      </w:r>
      <w:r>
        <w:rPr>
          <w:b/>
        </w:rPr>
        <w:t xml:space="preserve">sociological theory</w:t>
      </w:r>
      <w:r>
        <w:t xml:space="preserve"> </w:t>
      </w:r>
      <w:r>
        <w:t xml:space="preserve">in the full sense: it explains how social processes (institutions, cultures, power relations) mediate the biophysical and the economic.</w:t>
      </w:r>
    </w:p>
    <w:p>
      <w:pPr>
        <w:pStyle w:val="Nagwek3"/>
      </w:pPr>
      <w:bookmarkStart w:id="53" w:name="methodological-implications"/>
      <w:r>
        <w:t xml:space="preserve">7.2 Methodological Implications</w:t>
      </w:r>
      <w:bookmarkEnd w:id="53"/>
    </w:p>
    <w:p>
      <w:pPr>
        <w:pStyle w:val="FirstParagraph"/>
      </w:pPr>
      <w:r>
        <w:t xml:space="preserve">TMBD is not just a conceptual framework but a</w:t>
      </w:r>
      <w:r>
        <w:t xml:space="preserve"> </w:t>
      </w:r>
      <w:r>
        <w:rPr>
          <w:b/>
        </w:rPr>
        <w:t xml:space="preserve">diagnostic and evaluative tool</w:t>
      </w:r>
      <w:r>
        <w:t xml:space="preserve"> </w:t>
      </w:r>
      <w:r>
        <w:t xml:space="preserve">for blue governance. It can be applied at multiple scales:</w:t>
      </w:r>
    </w:p>
    <w:p>
      <w:pPr>
        <w:numPr>
          <w:ilvl w:val="0"/>
          <w:numId w:val="1020"/>
        </w:numPr>
        <w:pStyle w:val="Compact"/>
      </w:pPr>
      <w:r>
        <w:rPr>
          <w:b/>
        </w:rPr>
        <w:t xml:space="preserve">Project level:</w:t>
      </w:r>
      <w:r>
        <w:t xml:space="preserve"> </w:t>
      </w:r>
      <w:r>
        <w:t xml:space="preserve">Assessing whether a specific offshore wind farm, aquaculture installation, or port expansion generates sustainable Blue Value or externalizes costs.</w:t>
      </w:r>
    </w:p>
    <w:p>
      <w:pPr>
        <w:numPr>
          <w:ilvl w:val="0"/>
          <w:numId w:val="1020"/>
        </w:numPr>
        <w:pStyle w:val="Compact"/>
      </w:pPr>
      <w:r>
        <w:rPr>
          <w:b/>
        </w:rPr>
        <w:t xml:space="preserve">Policy level:</w:t>
      </w:r>
      <w:r>
        <w:t xml:space="preserve"> </w:t>
      </w:r>
      <w:r>
        <w:t xml:space="preserve">Evaluating whether national or regional blue economy strategies (e.g., the European Ocean Pact) achieve coherence across M, T, and O.</w:t>
      </w:r>
    </w:p>
    <w:p>
      <w:pPr>
        <w:numPr>
          <w:ilvl w:val="0"/>
          <w:numId w:val="1020"/>
        </w:numPr>
        <w:pStyle w:val="Compact"/>
      </w:pPr>
      <w:r>
        <w:rPr>
          <w:b/>
        </w:rPr>
        <w:t xml:space="preserve">Treaty level:</w:t>
      </w:r>
      <w:r>
        <w:t xml:space="preserve"> </w:t>
      </w:r>
      <w:r>
        <w:t xml:space="preserve">Diagnosing implementation challenges in global agreements (e.g., BBNJ) as M-axis enforcement gaps, T-axis capture, or O-axis legitimacy deficits.</w:t>
      </w:r>
    </w:p>
    <w:p>
      <w:pPr>
        <w:pStyle w:val="FirstParagraph"/>
      </w:pPr>
      <w:r>
        <w:t xml:space="preserve">The 9-cell Blue Value Logic-Matrix (Table 1) provides a</w:t>
      </w:r>
      <w:r>
        <w:t xml:space="preserve"> </w:t>
      </w:r>
      <w:r>
        <w:rPr>
          <w:b/>
        </w:rPr>
        <w:t xml:space="preserve">structured analytical protocol</w:t>
      </w:r>
      <w:r>
        <w:t xml:space="preserve">: for any blue initiative, ask:</w:t>
      </w:r>
      <w:r>
        <w:t xml:space="preserve"> </w:t>
      </w:r>
      <w:r>
        <w:t xml:space="preserve">1. What is the trajectory on M (De-, Re-, or Trans-marinisation)?</w:t>
      </w:r>
      <w:r>
        <w:t xml:space="preserve"> </w:t>
      </w:r>
      <w:r>
        <w:t xml:space="preserve">2. What is the trajectory on T (De-, Re-, or Trans-maritimisation)?</w:t>
      </w:r>
      <w:r>
        <w:t xml:space="preserve"> </w:t>
      </w:r>
      <w:r>
        <w:t xml:space="preserve">3. What is the trajectory on O (De-, Re-, or Trans-oceanisation)?</w:t>
      </w:r>
      <w:r>
        <w:t xml:space="preserve"> </w:t>
      </w:r>
      <w:r>
        <w:t xml:space="preserve">4. Are Trans- safeguards in place to prevent cost-shifting?</w:t>
      </w:r>
    </w:p>
    <w:p>
      <w:pPr>
        <w:pStyle w:val="Nagwek3"/>
      </w:pPr>
      <w:bookmarkStart w:id="54" w:name="X3e953d1a1b07b658a9bab4e81e006bd001005b1"/>
      <w:r>
        <w:t xml:space="preserve">7.3 Limitations and Future Research Directions</w:t>
      </w:r>
      <w:bookmarkEnd w:id="54"/>
    </w:p>
    <w:p>
      <w:pPr>
        <w:pStyle w:val="FirstParagraph"/>
      </w:pPr>
      <w:r>
        <w:t xml:space="preserve">TMBD is a mid-range theory: it is more specific than grand narratives (e.g.,</w:t>
      </w:r>
      <w:r>
        <w:t xml:space="preserve"> </w:t>
      </w:r>
      <w:r>
        <w:t xml:space="preserve">“</w:t>
      </w:r>
      <w:r>
        <w:t xml:space="preserve">the Anthropocene</w:t>
      </w:r>
      <w:r>
        <w:t xml:space="preserve">”</w:t>
      </w:r>
      <w:r>
        <w:t xml:space="preserve">) but more general than case-specific explanations. This positioning entails both strengths and limitations:</w:t>
      </w:r>
    </w:p>
    <w:p>
      <w:pPr>
        <w:pStyle w:val="BodyText"/>
      </w:pPr>
      <w:r>
        <w:rPr>
          <w:b/>
        </w:rPr>
        <w:t xml:space="preserve">Limitations:</w:t>
      </w:r>
      <w:r>
        <w:t xml:space="preserve"> </w:t>
      </w:r>
      <w:r>
        <w:t xml:space="preserve">-</w:t>
      </w:r>
      <w:r>
        <w:t xml:space="preserve"> </w:t>
      </w:r>
      <w:r>
        <w:rPr>
          <w:b/>
        </w:rPr>
        <w:t xml:space="preserve">Indicator operationalization:</w:t>
      </w:r>
      <w:r>
        <w:t xml:space="preserve"> </w:t>
      </w:r>
      <w:r>
        <w:t xml:space="preserve">While we have proposed indicators (Section 4.3), further work is needed to develop standardized metrics and data-collection protocols for M, T, and O.</w:t>
      </w:r>
      <w:r>
        <w:t xml:space="preserve"> </w:t>
      </w:r>
      <w:r>
        <w:t xml:space="preserve">-</w:t>
      </w:r>
      <w:r>
        <w:t xml:space="preserve"> </w:t>
      </w:r>
      <w:r>
        <w:rPr>
          <w:b/>
        </w:rPr>
        <w:t xml:space="preserve">Power and conflict:</w:t>
      </w:r>
      <w:r>
        <w:t xml:space="preserve"> </w:t>
      </w:r>
      <w:r>
        <w:t xml:space="preserve">TMBD identifies where cost-shifting occurs but does not fully theorize the</w:t>
      </w:r>
      <w:r>
        <w:t xml:space="preserve"> </w:t>
      </w:r>
      <w:r>
        <w:rPr>
          <w:i/>
        </w:rPr>
        <w:t xml:space="preserve">political economy</w:t>
      </w:r>
      <w:r>
        <w:t xml:space="preserve"> </w:t>
      </w:r>
      <w:r>
        <w:t xml:space="preserve">of blue governance—who has the power to enforce Trans- safeguards, and under what conditions do they choose to do so?</w:t>
      </w:r>
      <w:r>
        <w:t xml:space="preserve"> </w:t>
      </w:r>
      <w:r>
        <w:t xml:space="preserve">-</w:t>
      </w:r>
      <w:r>
        <w:t xml:space="preserve"> </w:t>
      </w:r>
      <w:r>
        <w:rPr>
          <w:b/>
        </w:rPr>
        <w:t xml:space="preserve">Temporal dynamics:</w:t>
      </w:r>
      <w:r>
        <w:t xml:space="preserve"> </w:t>
      </w:r>
      <w:r>
        <w:t xml:space="preserve">The model is currently synchronic (equilibrium-focused); a diachronic extension would trace how feedback loops accumulate over time and whether path-dependencies lock in unsustainable trajectories.</w:t>
      </w:r>
    </w:p>
    <w:p>
      <w:pPr>
        <w:pStyle w:val="BodyText"/>
      </w:pPr>
      <w:r>
        <w:rPr>
          <w:b/>
        </w:rPr>
        <w:t xml:space="preserve">Future research directions:</w:t>
      </w:r>
      <w:r>
        <w:t xml:space="preserve"> </w:t>
      </w:r>
      <w:r>
        <w:t xml:space="preserve">-</w:t>
      </w:r>
      <w:r>
        <w:t xml:space="preserve"> </w:t>
      </w:r>
      <w:r>
        <w:rPr>
          <w:b/>
        </w:rPr>
        <w:t xml:space="preserve">Empirical testing:</w:t>
      </w:r>
      <w:r>
        <w:t xml:space="preserve"> </w:t>
      </w:r>
      <w:r>
        <w:t xml:space="preserve">Apply TMBD to comparative case studies (e.g., North Sea vs. Caribbean vs. Pacific Islands) to test its cross-context validity.</w:t>
      </w:r>
      <w:r>
        <w:t xml:space="preserve"> </w:t>
      </w:r>
      <w:r>
        <w:t xml:space="preserve">-</w:t>
      </w:r>
      <w:r>
        <w:t xml:space="preserve"> </w:t>
      </w:r>
      <w:r>
        <w:rPr>
          <w:b/>
        </w:rPr>
        <w:t xml:space="preserve">Quantitative modeling:</w:t>
      </w:r>
      <w:r>
        <w:t xml:space="preserve"> </w:t>
      </w:r>
      <w:r>
        <w:t xml:space="preserve">Develop system dynamics or agent-based models that simulate the M-T-O feedback loops and identify tipping points or leverage points.</w:t>
      </w:r>
      <w:r>
        <w:t xml:space="preserve"> </w:t>
      </w:r>
      <w:r>
        <w:t xml:space="preserve">-</w:t>
      </w:r>
      <w:r>
        <w:t xml:space="preserve"> </w:t>
      </w:r>
      <w:r>
        <w:rPr>
          <w:b/>
        </w:rPr>
        <w:t xml:space="preserve">Justice deepening:</w:t>
      </w:r>
      <w:r>
        <w:t xml:space="preserve"> </w:t>
      </w:r>
      <w:r>
        <w:t xml:space="preserve">Integrate critical race theory, feminist political ecology, and indigenous scholarship to refine the Trans- category and address structural inequalities in blue governance.</w:t>
      </w:r>
    </w:p>
    <w:p>
      <w:r>
        <w:pict>
          <v:rect style="width:0;height:1.5pt" o:hralign="center" o:hrstd="t" o:hr="t"/>
        </w:pict>
      </w:r>
    </w:p>
    <w:p>
      <w:pPr>
        <w:pStyle w:val="Nagwek2"/>
      </w:pPr>
      <w:bookmarkStart w:id="55" w:name="X662bdcb45c128475a99d9548327ca92f7eabf9b"/>
      <w:r>
        <w:t xml:space="preserve">8. Conclusion: Toward a Just and Sustainable Blue Future</w:t>
      </w:r>
      <w:bookmarkEnd w:id="55"/>
    </w:p>
    <w:p>
      <w:pPr>
        <w:pStyle w:val="FirstParagraph"/>
      </w:pPr>
      <w:r>
        <w:t xml:space="preserve">The Blue Economy stands at a crossroads. On one path lies</w:t>
      </w:r>
      <w:r>
        <w:t xml:space="preserve"> </w:t>
      </w:r>
      <w:r>
        <w:t xml:space="preserve">“</w:t>
      </w:r>
      <w:r>
        <w:t xml:space="preserve">blue growth</w:t>
      </w:r>
      <w:r>
        <w:t xml:space="preserve">”</w:t>
      </w:r>
      <w:r>
        <w:t xml:space="preserve">—a continuation of extractive capitalism under a new label, where the ocean is mined, farmed, and infrastructurally colonized until its biophysical limits are breached and its coastal communities are displaced. On the other path lies</w:t>
      </w:r>
      <w:r>
        <w:t xml:space="preserve"> </w:t>
      </w:r>
      <w:r>
        <w:rPr>
          <w:b/>
        </w:rPr>
        <w:t xml:space="preserve">Sustainable Blue Value</w:t>
      </w:r>
      <w:r>
        <w:t xml:space="preserve">—a genuinely transformative model in which ecological regeneration, socio-economic renewal, and planetary governance are achieved simultaneously under conditions of justice and solidarity.</w:t>
      </w:r>
    </w:p>
    <w:p>
      <w:pPr>
        <w:pStyle w:val="BodyText"/>
      </w:pPr>
      <w:r>
        <w:t xml:space="preserve">This article has argued that maritime sociology, particularly Ludwik Janiszewski’s theory of marinization, provides a powerful but underutilized foundation for navigating this crossroads. By extending Janiszewski’s two-factor model into the</w:t>
      </w:r>
      <w:r>
        <w:t xml:space="preserve"> </w:t>
      </w:r>
      <w:r>
        <w:rPr>
          <w:b/>
        </w:rPr>
        <w:t xml:space="preserve">Tripartite Model of Blue Dynamics (TMBD)</w:t>
      </w:r>
      <w:r>
        <w:t xml:space="preserve">, we have formalized a semi-deterministic framework that treats the Marine (biophysical), Maritime (socio-technical), and Oceanic (planetary governance) dimensions as coupled and co-constitutive. Sustainable Blue Value is not a sectoral output or a simple balance but a</w:t>
      </w:r>
      <w:r>
        <w:t xml:space="preserve"> </w:t>
      </w:r>
      <w:r>
        <w:rPr>
          <w:b/>
        </w:rPr>
        <w:t xml:space="preserve">measurable three-way equilibrium</w:t>
      </w:r>
      <w:r>
        <w:t xml:space="preserve"> </w:t>
      </w:r>
      <w:r>
        <w:t xml:space="preserve">where Re-marinisation, Re-maritimisation, and Re-oceanisation occur under Trans- safeguards that enforce distributive and procedural justice.</w:t>
      </w:r>
    </w:p>
    <w:p>
      <w:pPr>
        <w:pStyle w:val="BodyText"/>
      </w:pPr>
      <w:r>
        <w:t xml:space="preserve">We have demonstrated that TMBD provides a coherence test for contemporary blue policy. The European Ocean Pact’s six priorities map onto the three TMBD axes, revealing both the policy’s potential and its implementation challenges. The High Seas Treaty (BBNJ Agreement) operationalizes Trans-oceanisation at the ABNJ scale, providing a concrete test case for the model’s predictive power. And the</w:t>
      </w:r>
      <w:r>
        <w:t xml:space="preserve"> </w:t>
      </w:r>
      <w:r>
        <w:t xml:space="preserve">“</w:t>
      </w:r>
      <w:r>
        <w:t xml:space="preserve">AWARE-CARE-SHARE</w:t>
      </w:r>
      <w:r>
        <w:t xml:space="preserve">”</w:t>
      </w:r>
      <w:r>
        <w:t xml:space="preserve"> </w:t>
      </w:r>
      <w:r>
        <w:t xml:space="preserve">manifesto translates into operational criteria for ocean literacy, stewardship, and justice across all three dimensions.</w:t>
      </w:r>
    </w:p>
    <w:p>
      <w:pPr>
        <w:pStyle w:val="BodyText"/>
      </w:pPr>
      <w:r>
        <w:t xml:space="preserve">The stakes could not be higher. The ocean is warming, acidifying, and losing biodiversity at unprecedented rates. Coastal communities face displacement from both climate impacts and blue gentrification. And governance fragmentation threatens to turn ABNJ into a new frontier of extraction. TMBD offers no easy solutions, but it does offer clarity:</w:t>
      </w:r>
      <w:r>
        <w:t xml:space="preserve"> </w:t>
      </w:r>
      <w:r>
        <w:rPr>
          <w:b/>
        </w:rPr>
        <w:t xml:space="preserve">Sustainable Blue Value is possible, but only if we govern the ocean as a coupled socio-ecological system across all three dimensions—Marine, Maritime, and Oceanic—with justice and solidarity as non-negotiable conditions.</w:t>
      </w:r>
    </w:p>
    <w:p>
      <w:pPr>
        <w:pStyle w:val="BodyText"/>
      </w:pPr>
      <w:r>
        <w:t xml:space="preserve">The time for</w:t>
      </w:r>
      <w:r>
        <w:t xml:space="preserve"> </w:t>
      </w:r>
      <w:r>
        <w:t xml:space="preserve">“</w:t>
      </w:r>
      <w:r>
        <w:t xml:space="preserve">blue-washing</w:t>
      </w:r>
      <w:r>
        <w:t xml:space="preserve">”</w:t>
      </w:r>
      <w:r>
        <w:t xml:space="preserve"> </w:t>
      </w:r>
      <w:r>
        <w:t xml:space="preserve">is over. The time for oceanizing our minds—and our institutions—is now.</w:t>
      </w:r>
    </w:p>
    <w:p>
      <w:r>
        <w:pict>
          <v:rect style="width:0;height:1.5pt" o:hralign="center" o:hrstd="t" o:hr="t"/>
        </w:pict>
      </w:r>
    </w:p>
    <w:p>
      <w:pPr>
        <w:pStyle w:val="Nagwek2"/>
      </w:pPr>
      <w:bookmarkStart w:id="56" w:name="references"/>
      <w:r>
        <w:t xml:space="preserve">References</w:t>
      </w:r>
      <w:bookmarkEnd w:id="56"/>
    </w:p>
    <w:p>
      <w:pPr>
        <w:pStyle w:val="FirstParagraph"/>
      </w:pPr>
      <w:r>
        <w:t xml:space="preserve">European Commission. (2025).</w:t>
      </w:r>
      <w:r>
        <w:t xml:space="preserve"> </w:t>
      </w:r>
      <w:r>
        <w:rPr>
          <w:i/>
        </w:rPr>
        <w:t xml:space="preserve">Communication on the European Ocean Pact</w:t>
      </w:r>
      <w:r>
        <w:t xml:space="preserve"> </w:t>
      </w:r>
      <w:r>
        <w:t xml:space="preserve">(COM(2025)281). Brussels: European Commission. https://oceans-and-fisheries.ec.europa.eu/european-ocean-pact_en</w:t>
      </w:r>
    </w:p>
    <w:p>
      <w:pPr>
        <w:pStyle w:val="BodyText"/>
      </w:pPr>
      <w:r>
        <w:t xml:space="preserve">GEO Blue Planet. (2023).</w:t>
      </w:r>
      <w:r>
        <w:t xml:space="preserve"> </w:t>
      </w:r>
      <w:r>
        <w:rPr>
          <w:i/>
        </w:rPr>
        <w:t xml:space="preserve">Leveraging ocean and coastal data to inform policy and decision-making</w:t>
      </w:r>
      <w:r>
        <w:t xml:space="preserve">. Retrieved from https://geoblueplanet.org/</w:t>
      </w:r>
    </w:p>
    <w:p>
      <w:pPr>
        <w:pStyle w:val="BodyText"/>
      </w:pPr>
      <w:r>
        <w:t xml:space="preserve">International Maritime Organization (IMO). (2026).</w:t>
      </w:r>
      <w:r>
        <w:t xml:space="preserve"> </w:t>
      </w:r>
      <w:r>
        <w:rPr>
          <w:i/>
        </w:rPr>
        <w:t xml:space="preserve">IMO welcomes entry into force of the BBNJ Agreement</w:t>
      </w:r>
      <w:r>
        <w:t xml:space="preserve">. Retrieved from https://www.imo.org/en/MediaCentre/PressBriefings/pages/IMO-welcomes-entry-into-force-BBNJ.aspx</w:t>
      </w:r>
    </w:p>
    <w:p>
      <w:pPr>
        <w:pStyle w:val="BodyText"/>
      </w:pPr>
      <w:r>
        <w:t xml:space="preserve">Janiszewski, L. (1987).</w:t>
      </w:r>
      <w:r>
        <w:t xml:space="preserve"> </w:t>
      </w:r>
      <w:r>
        <w:rPr>
          <w:i/>
        </w:rPr>
        <w:t xml:space="preserve">Zarys koncepcji marynizacji</w:t>
      </w:r>
      <w:r>
        <w:t xml:space="preserve"> </w:t>
      </w:r>
      <w:r>
        <w:t xml:space="preserve">[Outline of the concept of marinization]. In contemporary syntheses and discussions available via ResearchGate. https://www.researchgate.net/publication/307798816_Zarys_koncepcji_marynizacji</w:t>
      </w:r>
    </w:p>
    <w:p>
      <w:pPr>
        <w:pStyle w:val="BodyText"/>
      </w:pPr>
      <w:r>
        <w:t xml:space="preserve">UNESCO. (2023).</w:t>
      </w:r>
      <w:r>
        <w:t xml:space="preserve"> </w:t>
      </w:r>
      <w:r>
        <w:rPr>
          <w:i/>
        </w:rPr>
        <w:t xml:space="preserve">Ocean Literacy: Understanding how the ocean affects us—and how we affect the ocean</w:t>
      </w:r>
      <w:r>
        <w:t xml:space="preserve">. Retrieved from https://oceanliteracy.unesco.org/about</w:t>
      </w:r>
    </w:p>
    <w:p>
      <w:r>
        <w:pict>
          <v:rect style="width:0;height:1.5pt" o:hralign="center" o:hrstd="t" o:hr="t"/>
        </w:pict>
      </w:r>
    </w:p>
    <w:p>
      <w:pPr>
        <w:pStyle w:val="Nagwek2"/>
      </w:pPr>
      <w:bookmarkStart w:id="57" w:name="acknowledgments"/>
      <w:r>
        <w:t xml:space="preserve">Acknowledgments</w:t>
      </w:r>
      <w:bookmarkEnd w:id="57"/>
    </w:p>
    <w:p>
      <w:pPr>
        <w:pStyle w:val="FirstParagraph"/>
      </w:pPr>
      <w:r>
        <w:t xml:space="preserve">This research was conducted as part of the BLUE SOCIOLOGY ONE OCEAN ECONOMY Project. We acknowledge the foundational work of Ludwik Janiszewski and the contemporary scholars who have kept his legacy alive. We also thank the European Commission, UNESCO, IMO, and GEO Blue Planet for making policy documents and data publicly accessible.</w:t>
      </w:r>
    </w:p>
    <w:p>
      <w:r>
        <w:pict>
          <v:rect style="width:0;height:1.5pt" o:hralign="center" o:hrstd="t" o:hr="t"/>
        </w:pict>
      </w:r>
    </w:p>
    <w:p>
      <w:pPr>
        <w:pStyle w:val="FirstParagraph"/>
      </w:pPr>
      <w:r>
        <w:rPr>
          <w:b/>
        </w:rPr>
        <w:t xml:space="preserve">Author Contributions:</w:t>
      </w:r>
      <w:r>
        <w:t xml:space="preserve"> </w:t>
      </w:r>
      <w:r>
        <w:t xml:space="preserve">[To be completed based on actual authorship]</w:t>
      </w:r>
    </w:p>
    <w:p>
      <w:pPr>
        <w:pStyle w:val="BodyText"/>
      </w:pPr>
      <w:r>
        <w:rPr>
          <w:b/>
        </w:rPr>
        <w:t xml:space="preserve">Funding:</w:t>
      </w:r>
      <w:r>
        <w:t xml:space="preserve"> </w:t>
      </w:r>
      <w:r>
        <w:t xml:space="preserve">[To be completed based on actual funding sources]</w:t>
      </w:r>
    </w:p>
    <w:p>
      <w:pPr>
        <w:pStyle w:val="BodyText"/>
      </w:pPr>
      <w:r>
        <w:rPr>
          <w:b/>
        </w:rPr>
        <w:t xml:space="preserve">Conflicts of Interest:</w:t>
      </w:r>
      <w:r>
        <w:t xml:space="preserve"> </w:t>
      </w:r>
      <w:r>
        <w:t xml:space="preserve">The authors declare no conflicts of interest.</w:t>
      </w:r>
    </w:p>
    <w:p>
      <w:r>
        <w:pict>
          <v:rect style="width:0;height:1.5pt" o:hralign="center" o:hrstd="t" o:hr="t"/>
        </w:pict>
      </w:r>
    </w:p>
    <w:p>
      <w:pPr>
        <w:pStyle w:val="FirstParagraph"/>
      </w:pPr>
      <w:r>
        <w:rPr>
          <w:i/>
        </w:rPr>
        <w:t xml:space="preserve">Word Count: ~8,500 words (excluding references and tables)</w:t>
      </w:r>
    </w:p>
    <w:p>
      <w:r>
        <w:pict>
          <v:rect style="width:0;height:1.5pt" o:hralign="center" o:hrstd="t" o:hr="t"/>
        </w:pict>
      </w:r>
    </w:p>
    <w:p>
      <w:pPr>
        <w:pStyle w:val="Nagwek2"/>
      </w:pPr>
      <w:bookmarkStart w:id="58" w:name="X24e1f9bfe7af70c38bf1ffab09ccd8cbd9e938d"/>
      <w:r>
        <w:t xml:space="preserve">Appendix: Operational Indicators for TMBD Axes (Illustrative)</w:t>
      </w:r>
      <w:bookmarkEnd w:id="58"/>
    </w:p>
    <w:p>
      <w:pPr>
        <w:pStyle w:val="Nagwek3"/>
      </w:pPr>
      <w:bookmarkStart w:id="59" w:name="marine-m-axis-indicators"/>
      <w:r>
        <w:t xml:space="preserve">Marine (M) Axis Indicators</w:t>
      </w:r>
      <w:bookmarkEnd w:id="59"/>
    </w:p>
    <w:p>
      <w:pPr>
        <w:numPr>
          <w:ilvl w:val="0"/>
          <w:numId w:val="1021"/>
        </w:numPr>
        <w:pStyle w:val="Compact"/>
      </w:pPr>
      <w:r>
        <w:t xml:space="preserve">MPA coverage (% of EEZ and ABNJ)</w:t>
      </w:r>
    </w:p>
    <w:p>
      <w:pPr>
        <w:numPr>
          <w:ilvl w:val="0"/>
          <w:numId w:val="1021"/>
        </w:numPr>
        <w:pStyle w:val="Compact"/>
      </w:pPr>
      <w:r>
        <w:t xml:space="preserve">Fish stock status (% within biologically sustainable levels)</w:t>
      </w:r>
    </w:p>
    <w:p>
      <w:pPr>
        <w:numPr>
          <w:ilvl w:val="0"/>
          <w:numId w:val="1021"/>
        </w:numPr>
        <w:pStyle w:val="Compact"/>
      </w:pPr>
      <w:r>
        <w:t xml:space="preserve">Ocean health index scores</w:t>
      </w:r>
    </w:p>
    <w:p>
      <w:pPr>
        <w:numPr>
          <w:ilvl w:val="0"/>
          <w:numId w:val="1021"/>
        </w:numPr>
        <w:pStyle w:val="Compact"/>
      </w:pPr>
      <w:r>
        <w:t xml:space="preserve">Blue carbon sequestration rates</w:t>
      </w:r>
    </w:p>
    <w:p>
      <w:pPr>
        <w:numPr>
          <w:ilvl w:val="0"/>
          <w:numId w:val="1021"/>
        </w:numPr>
        <w:pStyle w:val="Compact"/>
      </w:pPr>
      <w:r>
        <w:t xml:space="preserve">Pollution levels (nutrients, plastics, toxins)</w:t>
      </w:r>
    </w:p>
    <w:p>
      <w:pPr>
        <w:numPr>
          <w:ilvl w:val="0"/>
          <w:numId w:val="1021"/>
        </w:numPr>
        <w:pStyle w:val="Compact"/>
      </w:pPr>
      <w:r>
        <w:t xml:space="preserve">Acidification and warming trends</w:t>
      </w:r>
    </w:p>
    <w:p>
      <w:pPr>
        <w:pStyle w:val="Nagwek3"/>
      </w:pPr>
      <w:bookmarkStart w:id="60" w:name="maritime-t-axis-indicators"/>
      <w:r>
        <w:t xml:space="preserve">Maritime (T) Axis Indicators</w:t>
      </w:r>
      <w:bookmarkEnd w:id="60"/>
    </w:p>
    <w:p>
      <w:pPr>
        <w:numPr>
          <w:ilvl w:val="0"/>
          <w:numId w:val="1022"/>
        </w:numPr>
        <w:pStyle w:val="Compact"/>
      </w:pPr>
      <w:r>
        <w:t xml:space="preserve">Blue economy employment (number, quality, sectoral distribution)</w:t>
      </w:r>
    </w:p>
    <w:p>
      <w:pPr>
        <w:numPr>
          <w:ilvl w:val="0"/>
          <w:numId w:val="1022"/>
        </w:numPr>
        <w:pStyle w:val="Compact"/>
      </w:pPr>
      <w:r>
        <w:t xml:space="preserve">MSP coverage and participatory inclusiveness</w:t>
      </w:r>
    </w:p>
    <w:p>
      <w:pPr>
        <w:numPr>
          <w:ilvl w:val="0"/>
          <w:numId w:val="1022"/>
        </w:numPr>
        <w:pStyle w:val="Compact"/>
      </w:pPr>
      <w:r>
        <w:t xml:space="preserve">Port infrastructure resilience and sustainability</w:t>
      </w:r>
    </w:p>
    <w:p>
      <w:pPr>
        <w:numPr>
          <w:ilvl w:val="0"/>
          <w:numId w:val="1022"/>
        </w:numPr>
        <w:pStyle w:val="Compact"/>
      </w:pPr>
      <w:r>
        <w:t xml:space="preserve">Coastal community displacement rates</w:t>
      </w:r>
    </w:p>
    <w:p>
      <w:pPr>
        <w:numPr>
          <w:ilvl w:val="0"/>
          <w:numId w:val="1022"/>
        </w:numPr>
        <w:pStyle w:val="Compact"/>
      </w:pPr>
      <w:r>
        <w:t xml:space="preserve">Maritime innovation investment (% of blue GDP)</w:t>
      </w:r>
    </w:p>
    <w:p>
      <w:pPr>
        <w:numPr>
          <w:ilvl w:val="0"/>
          <w:numId w:val="1022"/>
        </w:numPr>
        <w:pStyle w:val="Compact"/>
      </w:pPr>
      <w:r>
        <w:t xml:space="preserve">Legitimacy scores for new blue projects (social license)</w:t>
      </w:r>
    </w:p>
    <w:p>
      <w:pPr>
        <w:pStyle w:val="Nagwek3"/>
      </w:pPr>
      <w:bookmarkStart w:id="61" w:name="oceanic-o-axis-indicators"/>
      <w:r>
        <w:t xml:space="preserve">Oceanic (O) Axis Indicators</w:t>
      </w:r>
      <w:bookmarkEnd w:id="61"/>
    </w:p>
    <w:p>
      <w:pPr>
        <w:numPr>
          <w:ilvl w:val="0"/>
          <w:numId w:val="1023"/>
        </w:numPr>
        <w:pStyle w:val="Compact"/>
      </w:pPr>
      <w:r>
        <w:t xml:space="preserve">Ocean literacy rates (% of population)</w:t>
      </w:r>
    </w:p>
    <w:p>
      <w:pPr>
        <w:numPr>
          <w:ilvl w:val="0"/>
          <w:numId w:val="1023"/>
        </w:numPr>
        <w:pStyle w:val="Compact"/>
      </w:pPr>
      <w:r>
        <w:t xml:space="preserve">Treaty ratifications and compliance (BBNJ, regional agreements)</w:t>
      </w:r>
    </w:p>
    <w:p>
      <w:pPr>
        <w:numPr>
          <w:ilvl w:val="0"/>
          <w:numId w:val="1023"/>
        </w:numPr>
        <w:pStyle w:val="Compact"/>
      </w:pPr>
      <w:r>
        <w:t xml:space="preserve">Data infrastructure coverage (GEO Blue Planet, ocean observing systems)</w:t>
      </w:r>
    </w:p>
    <w:p>
      <w:pPr>
        <w:numPr>
          <w:ilvl w:val="0"/>
          <w:numId w:val="1023"/>
        </w:numPr>
        <w:pStyle w:val="Compact"/>
      </w:pPr>
      <w:r>
        <w:t xml:space="preserve">Benefit-sharing mechanisms in place (number, scope)</w:t>
      </w:r>
    </w:p>
    <w:p>
      <w:pPr>
        <w:numPr>
          <w:ilvl w:val="0"/>
          <w:numId w:val="1023"/>
        </w:numPr>
        <w:pStyle w:val="Compact"/>
      </w:pPr>
      <w:r>
        <w:t xml:space="preserve">Procedural justice scores (participation, grievance mechanisms)</w:t>
      </w:r>
    </w:p>
    <w:p>
      <w:pPr>
        <w:numPr>
          <w:ilvl w:val="0"/>
          <w:numId w:val="1023"/>
        </w:numPr>
        <w:pStyle w:val="Compact"/>
      </w:pPr>
      <w:r>
        <w:t xml:space="preserve">Ocean diplomacy engagement (number of multilateral initiatives)</w:t>
      </w:r>
    </w:p>
    <w:p>
      <w:pPr>
        <w:pStyle w:val="Nagwek3"/>
      </w:pPr>
      <w:bookmarkStart w:id="62" w:name="trans--safeguards-indicators"/>
      <w:r>
        <w:t xml:space="preserve">Trans- Safeguards Indicators</w:t>
      </w:r>
      <w:bookmarkEnd w:id="62"/>
    </w:p>
    <w:p>
      <w:pPr>
        <w:numPr>
          <w:ilvl w:val="0"/>
          <w:numId w:val="1024"/>
        </w:numPr>
        <w:pStyle w:val="Compact"/>
      </w:pPr>
      <w:r>
        <w:t xml:space="preserve">EIA coverage and enforcement (% of projects assessed)</w:t>
      </w:r>
    </w:p>
    <w:p>
      <w:pPr>
        <w:numPr>
          <w:ilvl w:val="0"/>
          <w:numId w:val="1024"/>
        </w:numPr>
        <w:pStyle w:val="Compact"/>
      </w:pPr>
      <w:r>
        <w:t xml:space="preserve">Precautionary thresholds codified (yes/no, scope)</w:t>
      </w:r>
    </w:p>
    <w:p>
      <w:pPr>
        <w:numPr>
          <w:ilvl w:val="0"/>
          <w:numId w:val="1024"/>
        </w:numPr>
        <w:pStyle w:val="Compact"/>
      </w:pPr>
      <w:r>
        <w:t xml:space="preserve">Rights-of-nature provisions (number, enforceability)</w:t>
      </w:r>
    </w:p>
    <w:p>
      <w:pPr>
        <w:numPr>
          <w:ilvl w:val="0"/>
          <w:numId w:val="1024"/>
        </w:numPr>
        <w:pStyle w:val="Compact"/>
      </w:pPr>
      <w:r>
        <w:t xml:space="preserve">Transcorporeal risk internalization (health regulations, toxin monitoring)</w:t>
      </w:r>
    </w:p>
    <w:p>
      <w:pPr>
        <w:numPr>
          <w:ilvl w:val="0"/>
          <w:numId w:val="1024"/>
        </w:numPr>
        <w:pStyle w:val="Compact"/>
      </w:pPr>
      <w:r>
        <w:t xml:space="preserve">Community benefit-sharing agreements (number, scope, compliance)</w:t>
      </w:r>
    </w:p>
    <w:p>
      <w:r>
        <w:pict>
          <v:rect style="width:0;height:1.5pt" o:hralign="center" o:hrstd="t" o:hr="t"/>
        </w:pict>
      </w:r>
    </w:p>
    <w:p>
      <w:pPr>
        <w:pStyle w:val="FirstParagraph"/>
      </w:pPr>
      <w:r>
        <w:rPr>
          <w:i/>
        </w:rPr>
        <w:t xml:space="preserve">End of Revised Article</w:t>
      </w:r>
    </w:p>
    <w:sectPr w:rsidR="00684DA2" w:rsidSect="00790AC7">
      <w:pgSz w:w="11906" w:h="16838"/>
      <w:pgMar w:top="1417" w:right="1417" w:bottom="1417" w:left="1417"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022"/>
    <w:multiLevelType w:val="hybridMultilevel"/>
    <w:tmpl w:val="AF0E47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B711C4F"/>
    <w:multiLevelType w:val="hybridMultilevel"/>
    <w:tmpl w:val="75629D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57C565F4"/>
    <w:multiLevelType w:val="hybridMultilevel"/>
    <w:tmpl w:val="F802FA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8B67D1A"/>
    <w:multiLevelType w:val="hybridMultilevel"/>
    <w:tmpl w:val="57BA16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53293445">
    <w:abstractNumId w:val="0"/>
  </w:num>
  <w:num w:numId="2" w16cid:durableId="1251428021">
    <w:abstractNumId w:val="2"/>
  </w:num>
  <w:num w:numId="3" w16cid:durableId="1797799629">
    <w:abstractNumId w:val="1"/>
  </w:num>
  <w:num w:numId="4" w16cid:durableId="1886329015">
    <w:abstractNumId w:val="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4DA2"/>
    <w:rPr>
      <w:rFonts w:ascii="Times New Roman" w:eastAsia="Times New Roman" w:hAnsi="Times New Roman"/>
      <w:kern w:val="0"/>
      <w:szCs w:val="22"/>
      <w:lang w:val="en-GB"/>
      <w14:ligatures w14:val="none"/>
    </w:rPr>
  </w:style>
  <w:style w:type="paragraph" w:styleId="Nagwek1">
    <w:name w:val="heading 1"/>
    <w:basedOn w:val="Normalny"/>
    <w:next w:val="Normalny"/>
    <w:link w:val="Nagwek1Znak"/>
    <w:uiPriority w:val="9"/>
    <w:qFormat/>
    <w:rsid w:val="00684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84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84DA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84DA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84DA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84D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84D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84D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84D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84DA2"/>
    <w:rPr>
      <w:rFonts w:asciiTheme="majorHAnsi" w:eastAsiaTheme="majorEastAsia" w:hAnsiTheme="majorHAnsi" w:cstheme="majorBidi"/>
      <w:color w:val="0F4761" w:themeColor="accent1" w:themeShade="BF"/>
      <w:sz w:val="40"/>
      <w:szCs w:val="40"/>
      <w:lang w:val="en-GB"/>
    </w:rPr>
  </w:style>
  <w:style w:type="character" w:customStyle="1" w:styleId="Nagwek2Znak">
    <w:name w:val="Nagłówek 2 Znak"/>
    <w:basedOn w:val="Domylnaczcionkaakapitu"/>
    <w:link w:val="Nagwek2"/>
    <w:uiPriority w:val="9"/>
    <w:rsid w:val="00684DA2"/>
    <w:rPr>
      <w:rFonts w:asciiTheme="majorHAnsi" w:eastAsiaTheme="majorEastAsia" w:hAnsiTheme="majorHAnsi" w:cstheme="majorBidi"/>
      <w:color w:val="0F4761" w:themeColor="accent1" w:themeShade="BF"/>
      <w:sz w:val="32"/>
      <w:szCs w:val="32"/>
      <w:lang w:val="en-GB"/>
    </w:rPr>
  </w:style>
  <w:style w:type="character" w:customStyle="1" w:styleId="Nagwek3Znak">
    <w:name w:val="Nagłówek 3 Znak"/>
    <w:basedOn w:val="Domylnaczcionkaakapitu"/>
    <w:link w:val="Nagwek3"/>
    <w:uiPriority w:val="9"/>
    <w:semiHidden/>
    <w:rsid w:val="00684DA2"/>
    <w:rPr>
      <w:rFonts w:eastAsiaTheme="majorEastAsia" w:cstheme="majorBidi"/>
      <w:color w:val="0F4761" w:themeColor="accent1" w:themeShade="BF"/>
      <w:sz w:val="28"/>
      <w:szCs w:val="28"/>
      <w:lang w:val="en-GB"/>
    </w:rPr>
  </w:style>
  <w:style w:type="character" w:customStyle="1" w:styleId="Nagwek4Znak">
    <w:name w:val="Nagłówek 4 Znak"/>
    <w:basedOn w:val="Domylnaczcionkaakapitu"/>
    <w:link w:val="Nagwek4"/>
    <w:uiPriority w:val="9"/>
    <w:semiHidden/>
    <w:rsid w:val="00684DA2"/>
    <w:rPr>
      <w:rFonts w:eastAsiaTheme="majorEastAsia" w:cstheme="majorBidi"/>
      <w:i/>
      <w:iCs/>
      <w:color w:val="0F4761" w:themeColor="accent1" w:themeShade="BF"/>
      <w:lang w:val="en-GB"/>
    </w:rPr>
  </w:style>
  <w:style w:type="character" w:customStyle="1" w:styleId="Nagwek5Znak">
    <w:name w:val="Nagłówek 5 Znak"/>
    <w:basedOn w:val="Domylnaczcionkaakapitu"/>
    <w:link w:val="Nagwek5"/>
    <w:uiPriority w:val="9"/>
    <w:semiHidden/>
    <w:rsid w:val="00684DA2"/>
    <w:rPr>
      <w:rFonts w:eastAsiaTheme="majorEastAsia" w:cstheme="majorBidi"/>
      <w:color w:val="0F4761" w:themeColor="accent1" w:themeShade="BF"/>
      <w:lang w:val="en-GB"/>
    </w:rPr>
  </w:style>
  <w:style w:type="character" w:customStyle="1" w:styleId="Nagwek6Znak">
    <w:name w:val="Nagłówek 6 Znak"/>
    <w:basedOn w:val="Domylnaczcionkaakapitu"/>
    <w:link w:val="Nagwek6"/>
    <w:uiPriority w:val="9"/>
    <w:semiHidden/>
    <w:rsid w:val="00684DA2"/>
    <w:rPr>
      <w:rFonts w:eastAsiaTheme="majorEastAsia" w:cstheme="majorBidi"/>
      <w:i/>
      <w:iCs/>
      <w:color w:val="595959" w:themeColor="text1" w:themeTint="A6"/>
      <w:lang w:val="en-GB"/>
    </w:rPr>
  </w:style>
  <w:style w:type="character" w:customStyle="1" w:styleId="Nagwek7Znak">
    <w:name w:val="Nagłówek 7 Znak"/>
    <w:basedOn w:val="Domylnaczcionkaakapitu"/>
    <w:link w:val="Nagwek7"/>
    <w:uiPriority w:val="9"/>
    <w:semiHidden/>
    <w:rsid w:val="00684DA2"/>
    <w:rPr>
      <w:rFonts w:eastAsiaTheme="majorEastAsia" w:cstheme="majorBidi"/>
      <w:color w:val="595959" w:themeColor="text1" w:themeTint="A6"/>
      <w:lang w:val="en-GB"/>
    </w:rPr>
  </w:style>
  <w:style w:type="character" w:customStyle="1" w:styleId="Nagwek8Znak">
    <w:name w:val="Nagłówek 8 Znak"/>
    <w:basedOn w:val="Domylnaczcionkaakapitu"/>
    <w:link w:val="Nagwek8"/>
    <w:uiPriority w:val="9"/>
    <w:semiHidden/>
    <w:rsid w:val="00684DA2"/>
    <w:rPr>
      <w:rFonts w:eastAsiaTheme="majorEastAsia" w:cstheme="majorBidi"/>
      <w:i/>
      <w:iCs/>
      <w:color w:val="272727" w:themeColor="text1" w:themeTint="D8"/>
      <w:lang w:val="en-GB"/>
    </w:rPr>
  </w:style>
  <w:style w:type="character" w:customStyle="1" w:styleId="Nagwek9Znak">
    <w:name w:val="Nagłówek 9 Znak"/>
    <w:basedOn w:val="Domylnaczcionkaakapitu"/>
    <w:link w:val="Nagwek9"/>
    <w:uiPriority w:val="9"/>
    <w:semiHidden/>
    <w:rsid w:val="00684DA2"/>
    <w:rPr>
      <w:rFonts w:eastAsiaTheme="majorEastAsia" w:cstheme="majorBidi"/>
      <w:color w:val="272727" w:themeColor="text1" w:themeTint="D8"/>
      <w:lang w:val="en-GB"/>
    </w:rPr>
  </w:style>
  <w:style w:type="paragraph" w:styleId="Tytu">
    <w:name w:val="Title"/>
    <w:basedOn w:val="Normalny"/>
    <w:next w:val="Normalny"/>
    <w:link w:val="TytuZnak"/>
    <w:uiPriority w:val="10"/>
    <w:qFormat/>
    <w:rsid w:val="00684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84DA2"/>
    <w:rPr>
      <w:rFonts w:asciiTheme="majorHAnsi" w:eastAsiaTheme="majorEastAsia" w:hAnsiTheme="majorHAnsi" w:cstheme="majorBidi"/>
      <w:spacing w:val="-10"/>
      <w:kern w:val="28"/>
      <w:sz w:val="56"/>
      <w:szCs w:val="56"/>
      <w:lang w:val="en-GB"/>
    </w:rPr>
  </w:style>
  <w:style w:type="paragraph" w:styleId="Podtytu">
    <w:name w:val="Subtitle"/>
    <w:basedOn w:val="Normalny"/>
    <w:next w:val="Normalny"/>
    <w:link w:val="PodtytuZnak"/>
    <w:uiPriority w:val="11"/>
    <w:qFormat/>
    <w:rsid w:val="00684D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84DA2"/>
    <w:rPr>
      <w:rFonts w:eastAsiaTheme="majorEastAsia" w:cstheme="majorBidi"/>
      <w:color w:val="595959" w:themeColor="text1" w:themeTint="A6"/>
      <w:spacing w:val="15"/>
      <w:sz w:val="28"/>
      <w:szCs w:val="28"/>
      <w:lang w:val="en-GB"/>
    </w:rPr>
  </w:style>
  <w:style w:type="paragraph" w:styleId="Cytat">
    <w:name w:val="Quote"/>
    <w:basedOn w:val="Normalny"/>
    <w:next w:val="Normalny"/>
    <w:link w:val="CytatZnak"/>
    <w:uiPriority w:val="29"/>
    <w:qFormat/>
    <w:rsid w:val="00684D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84DA2"/>
    <w:rPr>
      <w:i/>
      <w:iCs/>
      <w:color w:val="404040" w:themeColor="text1" w:themeTint="BF"/>
      <w:lang w:val="en-GB"/>
    </w:rPr>
  </w:style>
  <w:style w:type="paragraph" w:styleId="Akapitzlist">
    <w:name w:val="List Paragraph"/>
    <w:basedOn w:val="Normalny"/>
    <w:uiPriority w:val="34"/>
    <w:qFormat/>
    <w:rsid w:val="00684DA2"/>
    <w:pPr>
      <w:ind w:left="720"/>
      <w:contextualSpacing/>
    </w:pPr>
  </w:style>
  <w:style w:type="character" w:styleId="Wyrnienieintensywne">
    <w:name w:val="Intense Emphasis"/>
    <w:basedOn w:val="Domylnaczcionkaakapitu"/>
    <w:uiPriority w:val="21"/>
    <w:qFormat/>
    <w:rsid w:val="00684DA2"/>
    <w:rPr>
      <w:i/>
      <w:iCs/>
      <w:color w:val="0F4761" w:themeColor="accent1" w:themeShade="BF"/>
    </w:rPr>
  </w:style>
  <w:style w:type="paragraph" w:styleId="Cytatintensywny">
    <w:name w:val="Intense Quote"/>
    <w:basedOn w:val="Normalny"/>
    <w:next w:val="Normalny"/>
    <w:link w:val="CytatintensywnyZnak"/>
    <w:uiPriority w:val="30"/>
    <w:qFormat/>
    <w:rsid w:val="00684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84DA2"/>
    <w:rPr>
      <w:i/>
      <w:iCs/>
      <w:color w:val="0F4761" w:themeColor="accent1" w:themeShade="BF"/>
      <w:lang w:val="en-GB"/>
    </w:rPr>
  </w:style>
  <w:style w:type="character" w:styleId="Odwoanieintensywne">
    <w:name w:val="Intense Reference"/>
    <w:basedOn w:val="Domylnaczcionkaakapitu"/>
    <w:uiPriority w:val="32"/>
    <w:qFormat/>
    <w:rsid w:val="00684DA2"/>
    <w:rPr>
      <w:b/>
      <w:bCs/>
      <w:smallCaps/>
      <w:color w:val="0F4761" w:themeColor="accent1" w:themeShade="BF"/>
      <w:spacing w:val="5"/>
    </w:rPr>
  </w:style>
  <w:style w:type="character" w:styleId="Odwoaniedokomentarza">
    <w:name w:val="annotation reference"/>
    <w:basedOn w:val="Domylnaczcionkaakapitu"/>
    <w:uiPriority w:val="99"/>
    <w:semiHidden/>
    <w:unhideWhenUsed/>
    <w:rsid w:val="00E92F17"/>
    <w:rPr>
      <w:sz w:val="16"/>
      <w:szCs w:val="16"/>
    </w:rPr>
  </w:style>
  <w:style w:type="paragraph" w:styleId="Tekstkomentarza">
    <w:name w:val="annotation text"/>
    <w:basedOn w:val="Normalny"/>
    <w:link w:val="TekstkomentarzaZnak"/>
    <w:uiPriority w:val="99"/>
    <w:unhideWhenUsed/>
    <w:rsid w:val="00E92F17"/>
    <w:pPr>
      <w:spacing w:line="240" w:lineRule="auto"/>
    </w:pPr>
    <w:rPr>
      <w:sz w:val="20"/>
      <w:szCs w:val="20"/>
    </w:rPr>
  </w:style>
  <w:style w:type="character" w:customStyle="1" w:styleId="TekstkomentarzaZnak">
    <w:name w:val="Tekst komentarza Znak"/>
    <w:basedOn w:val="Domylnaczcionkaakapitu"/>
    <w:link w:val="Tekstkomentarza"/>
    <w:uiPriority w:val="99"/>
    <w:rsid w:val="00E92F17"/>
    <w:rPr>
      <w:rFonts w:ascii="Times New Roman" w:eastAsia="Times New Roman" w:hAnsi="Times New Roman"/>
      <w:kern w:val="0"/>
      <w:sz w:val="20"/>
      <w:szCs w:val="20"/>
      <w:lang w:val="en-GB"/>
      <w14:ligatures w14:val="none"/>
    </w:rPr>
  </w:style>
  <w:style w:type="paragraph" w:styleId="Tematkomentarza">
    <w:name w:val="annotation subject"/>
    <w:basedOn w:val="Tekstkomentarza"/>
    <w:next w:val="Tekstkomentarza"/>
    <w:link w:val="TematkomentarzaZnak"/>
    <w:uiPriority w:val="99"/>
    <w:semiHidden/>
    <w:unhideWhenUsed/>
    <w:rsid w:val="00E92F17"/>
    <w:rPr>
      <w:b/>
      <w:bCs/>
    </w:rPr>
  </w:style>
  <w:style w:type="character" w:customStyle="1" w:styleId="TematkomentarzaZnak">
    <w:name w:val="Temat komentarza Znak"/>
    <w:basedOn w:val="TekstkomentarzaZnak"/>
    <w:link w:val="Tematkomentarza"/>
    <w:uiPriority w:val="99"/>
    <w:semiHidden/>
    <w:rsid w:val="00E92F17"/>
    <w:rPr>
      <w:rFonts w:ascii="Times New Roman" w:eastAsia="Times New Roman" w:hAnsi="Times New Roman"/>
      <w:b/>
      <w:bCs/>
      <w:kern w:val="0"/>
      <w:sz w:val="20"/>
      <w:szCs w:val="20"/>
      <w:lang w:val="en-GB"/>
      <w14:ligatures w14:val="non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6280</Words>
  <Characters>37685</Characters>
  <Application>Microsoft Office Word</Application>
  <DocSecurity>0</DocSecurity>
  <Lines>314</Lines>
  <Paragraphs>87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2026-02-14T02:29:46Z</dcterms:created>
  <dcterms:modified xsi:type="dcterms:W3CDTF">2026-02-14T02:29:46Z</dcterms:modified>
</cp:coreProperties>
</file>

<file path=docProps/custom.xml><?xml version="1.0" encoding="utf-8"?>
<Properties xmlns="http://schemas.openxmlformats.org/officeDocument/2006/custom-properties" xmlns:vt="http://schemas.openxmlformats.org/officeDocument/2006/docPropsVTypes"/>
</file>