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c933wygh4f64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Proposta de sistema de metas de redução nas emissões de carbono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O objetivo desta proposta é motivar os usuários a reduzir gradualmente suas pegadas de carbono, a fim de promover alternativas sustentáveis em seus hábitos de transporte. Um sistema de metas personalizado para cada usuário, com motivações e incentivos semanais, pode ser uma ótima alternativa para melhorar a conscientização e reduzir o dano ambiental das pessoas.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sistema calculará a média de emissões mensais do usuário com base em seu histórico de viagens. Essa média servirá como referência para as metas(ex: últimos 3 meses).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Definição de Metas Personalizadas: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usuário poderá escolher entre metas pré-definidas ou personalizadas, como: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Reduzir emissões em 5% no próximo mês.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Escolher um modal mais sustentável em 10% das viagens.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Reduzir 50 kg de CO2 até o final do trimestre.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Acompanhamento em Tempo Real: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dashboard mostrará o progresso em relação à meta, com gráficos de comparação entre emissões atuais e passadas, além de alertas de incentivo (ex.: "Você está a 20% da sua meta!").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Recompensas Simbólicas ao atingir a meta: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Badges virtuais (ex.: "Redutor de Carbono Nível 1").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Comparativos positivos (ex.: "Sua redução equivale a plantar 3 árvores")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Fontes: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Nielsen, K. S., et al. (2021). </w:t>
      </w:r>
      <w:r w:rsidDel="00000000" w:rsidR="00000000" w:rsidRPr="00000000">
        <w:rPr>
          <w:rFonts w:ascii="Roboto" w:cs="Roboto" w:eastAsia="Roboto" w:hAnsi="Roboto"/>
          <w:i w:val="1"/>
          <w:color w:val="0f1115"/>
          <w:sz w:val="24"/>
          <w:szCs w:val="24"/>
          <w:highlight w:val="white"/>
          <w:rtl w:val="0"/>
        </w:rPr>
        <w:t xml:space="preserve">The Psychology of Climate Change Communication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. Climate Outreach.</w:t>
      </w:r>
    </w:p>
    <w:p w:rsidR="00000000" w:rsidDel="00000000" w:rsidP="00000000" w:rsidRDefault="00000000" w:rsidRPr="00000000" w14:paraId="0000001C">
      <w:pPr>
        <w:ind w:left="-40" w:right="-40" w:firstLine="0"/>
        <w:rPr>
          <w:rFonts w:ascii="Roboto" w:cs="Roboto" w:eastAsia="Roboto" w:hAnsi="Roboto"/>
          <w:color w:val="3964f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World Resources Institute (WRI). </w:t>
      </w:r>
      <w:r w:rsidDel="00000000" w:rsidR="00000000" w:rsidRPr="00000000">
        <w:rPr>
          <w:rFonts w:ascii="Roboto" w:cs="Roboto" w:eastAsia="Roboto" w:hAnsi="Roboto"/>
          <w:i w:val="1"/>
          <w:color w:val="0f1115"/>
          <w:sz w:val="24"/>
          <w:szCs w:val="24"/>
          <w:highlight w:val="white"/>
          <w:rtl w:val="0"/>
        </w:rPr>
        <w:t xml:space="preserve">Greenhouse Gas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40" w:right="-40" w:firstLine="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Locke, E. A., &amp; Latham, G. P. (2002). Building a practically useful theory of goal setting and task motivation. </w:t>
      </w:r>
      <w:r w:rsidDel="00000000" w:rsidR="00000000" w:rsidRPr="00000000">
        <w:rPr>
          <w:rFonts w:ascii="Roboto" w:cs="Roboto" w:eastAsia="Roboto" w:hAnsi="Roboto"/>
          <w:i w:val="1"/>
          <w:color w:val="0f1115"/>
          <w:sz w:val="24"/>
          <w:szCs w:val="24"/>
          <w:highlight w:val="white"/>
          <w:rtl w:val="0"/>
        </w:rPr>
        <w:t xml:space="preserve">American Psychologist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40" w:right="-40" w:firstLine="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Abrahamse, W., et al. (2005). A review of intervention studies aimed at household energy conservation. </w:t>
      </w:r>
      <w:r w:rsidDel="00000000" w:rsidR="00000000" w:rsidRPr="00000000">
        <w:rPr>
          <w:rFonts w:ascii="Roboto" w:cs="Roboto" w:eastAsia="Roboto" w:hAnsi="Roboto"/>
          <w:i w:val="1"/>
          <w:color w:val="0f1115"/>
          <w:sz w:val="24"/>
          <w:szCs w:val="24"/>
          <w:highlight w:val="white"/>
          <w:rtl w:val="0"/>
        </w:rPr>
        <w:t xml:space="preserve">Journal of Environmental Psychology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, 25(3), 273–291.</w:t>
      </w:r>
    </w:p>
    <w:p w:rsidR="00000000" w:rsidDel="00000000" w:rsidP="00000000" w:rsidRDefault="00000000" w:rsidRPr="00000000" w14:paraId="0000001F">
      <w:pPr>
        <w:ind w:left="-40" w:right="-40" w:firstLine="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Hamari, J., Koivisto, J., &amp; Sarsa, H. (2014). Does Gamification Work? A Literature Review of Empirical Studies on Gamification. </w:t>
      </w:r>
      <w:r w:rsidDel="00000000" w:rsidR="00000000" w:rsidRPr="00000000">
        <w:rPr>
          <w:rFonts w:ascii="Roboto" w:cs="Roboto" w:eastAsia="Roboto" w:hAnsi="Roboto"/>
          <w:i w:val="1"/>
          <w:color w:val="0f1115"/>
          <w:sz w:val="24"/>
          <w:szCs w:val="24"/>
          <w:highlight w:val="white"/>
          <w:rtl w:val="0"/>
        </w:rPr>
        <w:t xml:space="preserve">Proceedings of the 47th Hawaii International Conference on System Sciences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0">
      <w:pPr>
        <w:ind w:left="-40" w:right="-40" w:firstLine="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IPCC (2023). </w:t>
      </w:r>
      <w:r w:rsidDel="00000000" w:rsidR="00000000" w:rsidRPr="00000000">
        <w:rPr>
          <w:rFonts w:ascii="Roboto" w:cs="Roboto" w:eastAsia="Roboto" w:hAnsi="Roboto"/>
          <w:i w:val="1"/>
          <w:color w:val="0f1115"/>
          <w:sz w:val="24"/>
          <w:szCs w:val="24"/>
          <w:highlight w:val="white"/>
          <w:rtl w:val="0"/>
        </w:rPr>
        <w:t xml:space="preserve">Climate Change 2023: Synthesis Report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. Grupo de Trabalho III.</w:t>
      </w:r>
    </w:p>
    <w:p w:rsidR="00000000" w:rsidDel="00000000" w:rsidP="00000000" w:rsidRDefault="00000000" w:rsidRPr="00000000" w14:paraId="00000021">
      <w:pPr>
        <w:ind w:left="-40" w:right="-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EPA (2022). </w:t>
      </w:r>
      <w:r w:rsidDel="00000000" w:rsidR="00000000" w:rsidRPr="00000000">
        <w:rPr>
          <w:rFonts w:ascii="Roboto" w:cs="Roboto" w:eastAsia="Roboto" w:hAnsi="Roboto"/>
          <w:i w:val="1"/>
          <w:color w:val="0f1115"/>
          <w:sz w:val="24"/>
          <w:szCs w:val="24"/>
          <w:highlight w:val="white"/>
          <w:rtl w:val="0"/>
        </w:rPr>
        <w:t xml:space="preserve">Greenhouse Gas Emissions from Transportation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. Environmental Protection Agency.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