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W w:w="8576" w:type="dxa"/>
      </w:tblPr>
      <w:tblGrid>
        <w:gridCol w:w="8504"/>
      </w:tblGrid>
      <w:tr>
        <w:tc>
          <w:tcPr>
            <w:tcW w:type="dxa" w:w="8504"/>
            <w:tcW w:w="8576" w:type="dxa"/>
            <w:tcMar>
              <w:top w:w="140" w:type="dxa"/>
              <w:bottom w:w="140" w:type="dxa"/>
              <w:left w:w="140" w:type="dxa"/>
              <w:right w:w="140" w:type="dxa"/>
            </w:tcMar>
          </w:tcPr>
          <w:p>
            <w:pPr>
              <w:spacing w:line="375" w:lineRule="atLeast" w:after="120"/>
            </w:pPr>
            <w:r/>
            <w:r>
              <w:rPr>
                <w:rFonts w:ascii="Aptos" w:hAnsi="Aptos"/>
                <w:b/>
                <w:color w:val="000000"/>
                <w:sz w:val="24"/>
              </w:rPr>
              <w:t>Módulo 1: Gestión, Importación y Preparación de Comprobantes</w:t>
            </w:r>
          </w:p>
          <w:p>
            <w:pPr>
              <w:spacing w:line="120" w:lineRule="atLeast" w:after="0"/>
            </w:pPr>
            <w:r/>
            <w:r>
              <w:rPr>
                <w:rFonts w:ascii="Aptos" w:hAnsi="Aptos"/>
                <w:b w:val="0"/>
                <w:color w:val="000000"/>
                <w:sz w:val="12"/>
              </w:rPr>
            </w:r>
          </w:p>
          <w:tbl>
            <w:tblPr>
              <w:tblStyle w:val="TableGrid"/>
              <w:tblW w:type="auto" w:w="0"/>
              <w:jc w:val="center"/>
              <w:tblLook w:firstColumn="1" w:firstRow="1" w:lastColumn="0" w:lastRow="0" w:noHBand="0" w:noVBand="1" w:val="04A0"/>
              <w:tblW w:w="8504" w:type="dxa"/>
            </w:tblPr>
            <w:tblGrid>
              <w:gridCol w:w="2835"/>
              <w:gridCol w:w="2835"/>
              <w:gridCol w:w="2835"/>
            </w:tblGrid>
            <w:tr>
              <w:trPr>
                <w:trHeight w:val="371" w:hRule="atLeast"/>
              </w:trPr>
              <w:tc>
                <w:tcPr>
                  <w:tcW w:type="dxa" w:w="2835"/>
                  <w:tcW w:w="907" w:type="dxa"/>
                  <w:tcMar>
                    <w:top w:w="100" w:type="dxa"/>
                    <w:bottom w:w="100" w:type="dxa"/>
                    <w:left w:w="140" w:type="dxa"/>
                    <w:right w:w="140" w:type="dxa"/>
                  </w:tcMar>
                  <w:shd w:fill="D1D1D1"/>
                </w:tcPr>
                <w:p>
                  <w:pPr>
                    <w:spacing w:line="375" w:lineRule="atLeast" w:after="0"/>
                  </w:pPr>
                  <w:r/>
                  <w:r>
                    <w:rPr>
                      <w:rFonts w:ascii="Aptos" w:hAnsi="Aptos"/>
                      <w:b/>
                      <w:color w:val="000000"/>
                      <w:sz w:val="24"/>
                    </w:rPr>
                    <w:t>N°</w:t>
                  </w:r>
                </w:p>
              </w:tc>
              <w:tc>
                <w:tcPr>
                  <w:tcW w:type="dxa" w:w="2835"/>
                  <w:tcW w:w="2495" w:type="dxa"/>
                  <w:tcMar>
                    <w:top w:w="100" w:type="dxa"/>
                    <w:bottom w:w="100" w:type="dxa"/>
                    <w:left w:w="140" w:type="dxa"/>
                    <w:right w:w="140" w:type="dxa"/>
                  </w:tcMar>
                  <w:shd w:fill="D1D1D1"/>
                </w:tcPr>
                <w:p>
                  <w:pPr>
                    <w:spacing w:line="375" w:lineRule="atLeast" w:after="0"/>
                  </w:pPr>
                  <w:r/>
                  <w:r>
                    <w:rPr>
                      <w:rFonts w:ascii="Aptos" w:hAnsi="Aptos"/>
                      <w:b/>
                      <w:color w:val="000000"/>
                      <w:sz w:val="24"/>
                    </w:rPr>
                    <w:t>Requerimiento</w:t>
                  </w:r>
                </w:p>
              </w:tc>
              <w:tc>
                <w:tcPr>
                  <w:tcW w:type="dxa" w:w="2835"/>
                  <w:tcW w:w="5102" w:type="dxa"/>
                  <w:tcMar>
                    <w:top w:w="100" w:type="dxa"/>
                    <w:bottom w:w="100" w:type="dxa"/>
                    <w:left w:w="140" w:type="dxa"/>
                    <w:right w:w="140" w:type="dxa"/>
                  </w:tcMar>
                  <w:shd w:fill="D1D1D1"/>
                </w:tcPr>
                <w:p>
                  <w:pPr>
                    <w:spacing w:line="375" w:lineRule="atLeast" w:after="0"/>
                  </w:pPr>
                  <w:r/>
                  <w:r>
                    <w:rPr>
                      <w:rFonts w:ascii="Aptos" w:hAnsi="Aptos"/>
                      <w:b/>
                      <w:color w:val="000000"/>
                      <w:sz w:val="24"/>
                    </w:rPr>
                    <w:t>Descripción</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Autenticación y control de acceso seguro por roles de usuario</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permitirá el inicio de sesión autenticado mediante correo electrónico institucional y credenciales cifradas con algoritmo de derivación de claves bcrypt, emitiendo tokens de sesión JWT (JSON Web Tokens) con firma HMAC-SHA256 y expiración temporal. El módulo validará estrictamente que el usuario posea roles autorizados (ADMINISTRADOR o CONTADOR) para la gestión, importación y preparación de comprobantes, denegando accesos anónimos o no autorizados.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RF2</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Identificación y selección contextual de la empresa informante</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identificará y vinculará la sesión del usuario a la empresa contribuyente informante activa (RUC de 11 dígitos, razón social y estado operativo habilitado). El módulo asegurará el aislamiento multiempresa (multitenancy), garantizando que las operaciones de carga, extracción y preparación de comprobantes pertenezcan exclusivamente a la empresa seleccionada por el contador en su entorno de trabajo, impidiendo el cruce indebido de información tributaria.</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RF3</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Carga segura y validación perimetral del archivo Excel del Registro de Compras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permitirá la carga masiva del archivo del Registro de Compras (Formato 8.1) mediante arrastrar y soltar (drag &amp; drop) o selector de archivos. El módulo validará la extensión estricta (.xlsx), verificará la firma binaria de compresión (magic bytes PK\x03\x04), aplicará limitación de tasa de solicitudes (rate limiting por IP y usuario para prevenir ataques de denegación de servicio) y validará que el archivo no supere el tamaño máximo permitido de 15 MB mediante lectura streaming por fragmentos de 1 MB.</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RF4</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Mitigación de riesgos de descompresión y exclusión de contenidos ejecutables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inspeccionará de manera preventiva la estructura interna del contenedor comprimido OOXML del archivo Excel (.xlsx), limitando la cantidad máxima de entradas internas (máximo 1,000 entradas), verificando el tamaño total descomprimido (máximo 50 MB) y calculando la tasa de compresión (máximo ratio 100:1) para neutralizar posibles bombas de descompresión (Zip Bombs). Asimismo, bloqueará rutas con secuencias sospechosas de escalamiento de directorios (Path Traversal) y rechazará archivos que contengan proyectos de macros VBA (vbaproject) o binarios ejecutables embebidos.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RF5</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Detección dinámica multinivel de cabeceras contables y resolución de celdas combinadas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explorará dinámicamente las primeras filas de la hoja de cálculo activa para identificar de manera inteligente el bloque de encabezados del Registro de Compras (Formato 8.1), resolviendo las celdas combinadas (merged_cells) mediante la propagación del valor canónico superior izquierdo. El algoritmo evaluará ventanas jerárquicas y aplicará puntuación semántica para mapear de forma flexible las columnas de fecha de emisión, tipo de comprobante, serie, correlativo, documento del proveedor (RUC), razón social y monto total.</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RF6</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Filtrado automático de filas no operativas y comprobantes de referencia</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discriminará y excluirá automáticamente del procesamiento las filas no operativas del libro contable, tales como totales generales, totales de página, subtotales de subdiario, metadatos informativos (período contable, RUC de la empresa informante, leyendas de subdiarios), repeticiones de cabecera en saltos de página y filas vacías. Asimismo, ignorará estrictamente las columnas correspondientes a documentos de referencia o comprobantes modificados para evitar falsas extracciones de comprobantes no emitidos por el proveedor principal.</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RF7</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Extracción y normalización de clave fiscal y atributos del comprobante</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extraerá de cada fila contable los atributos fiscales esenciales, aplicando una normalización no destructiva que preserve la integridad de los datos. Normalizará el número de RUC del proveedor eliminando guiones y espacios, validando su estructura de 11 dígitos numéricos iniciados con los prefijos tributarios autorizados (10, 15, 16, 17 o 20); formateará el tipo de comprobante a dos dígitos numéricos con ceros a la izquierda (zfill 2); convertirá la serie a mayúsculas conservando ceros no significativos; mantendrá íntegro el número correlativo sin pérdida de ceros a la izquierda; estandarizará la fecha de emisión al formato canónico DD/MM/YYYY; y capturará la razón social del emisor.</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RF8</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Tratamiento dual y preservación contable de montos (monto_original vs monto normalizado)</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implementará un tratamiento de precisión decimal para los importes contables, extrayendo y conservando el campo monto_original con su signo aritmético contable original (permitiendo valores negativos característicos de notas de crédito y devoluciones según el principio contable de partida doble), mientras que generará simultáneamente el campo monto normalizado como un valor numérico decimal positivo en valor absoluto con dos decimales, cumpliendo con la especificación técnica requerida por el esquema de consulta de SUNAT.</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RF9</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Prevalidación de datos obligatorios y marcado de registros incompletos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evaluará preventivamente cada comprobante extraído antes de cualquier interacción externa, verificando la presencia y validez de los campos obligatorios: RUC emisor, tipo de comprobante, serie, número correlativo, fecha de emisión e importe. Si un registro carece de alguno de estos valores o presenta inconsistencias de formato, el sistema lo clasificará automáticamente con el estado de archivo ERROR, documentando la lista precisa de motivos de rechazo (errores de validación) y deshabilitando su selección para envío para evitar rechazos técnicos innecesarios.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RF10</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Detección y clasificación de tipos de comprobante no soportados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cotejará el código de tipo de comprobante extraído contra el catálogo oficial de comprobantes habilitados para validación electrónica ante SUNAT (Factura '01', Boleta de Venta '03', Nota de Crédito '07', Nota de Débito '08' y Recibo por Servicios Públicos '14'). Asimismo, verificará que el tipo de documento de identidad del proveedor corresponda exclusivamente a RUC (código '6'). De detectarse otros tipos documentales no contemplados por el servicio electrónico de consulta de SUNAT, el registro será catalogado con el estado NO_SOPORTADO, bloqueando su selección preventiva y detallando la no elegibilidad al usuario.</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RF11</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Detección de comprobantes duplicados en el archivo importado</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mantendrá un registro en memoria de las claves fiscales observadas en el lote importado (combinación única: RUC emisor, tipo de comprobante, serie y correlativo). Si se identifica que un comprobante se repite dentro del mismo archivo Excel, el sistema marcará las ocurrencias subsiguientes con el estado DUPLICADO, indicando explícitamente el número de fila original con la que colisiona, protegiendo al lote contra consultas redundantes y distorsiones estadísticas.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RF12</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Generación del diagnóstico estructural y previsualización interactiva del lote</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generará una respuesta estructurada de previsualización que incluirá un diagnóstico técnico de la importación (nombre del archivo, hoja detectada, rango de filas de encabezado y mapeo de columnas identificadas), junto con los contadores consolidados del análisis (total de filas procesadas, total en estado LISTO, total con ERROR, total DUPLICADOS y total NO_SOPORTADO). La interfaz web presentará una vista previa enriquecida con badges semánticos de color, permitiendo una auditoría visual inmediata sin alterar ningún registro en la base de datos.</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RF13</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Selección, filtrado dinámico y preparación del lote para despacho</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proporcionará al usuario herramientas interactivas para gestionar el lote analizado: filtros rápidos por estado de archivo (TODOS, LISTO, ERROR, DUPLICADO, NO_SOPORTADO), barra de búsqueda en tiempo real (por RUC, serie, número o razón social), opciones para seleccionar/deseleccionar todos los registros aptos (LISTO), y visualización del detalle de errores por fila. Los registros con fallas permanecen bloqueados para selección, y únicamente los comprobantes expresamente validados y seleccionados son empaquetados y transferidos al módulo de validación SUNAT.</w:t>
                  </w:r>
                </w:p>
              </w:tc>
            </w:tr>
          </w:tbl>
          <w:p/>
          <w:p>
            <w:pPr>
              <w:spacing w:line="160" w:lineRule="atLeast" w:after="0"/>
            </w:pPr>
            <w:r/>
            <w:r>
              <w:rPr>
                <w:rFonts w:ascii="Aptos" w:hAnsi="Aptos"/>
                <w:b w:val="0"/>
                <w:color w:val="000000"/>
                <w:sz w:val="16"/>
              </w:rPr>
            </w:r>
          </w:p>
          <w:p>
            <w:pPr>
              <w:spacing w:line="375" w:lineRule="atLeast" w:after="120"/>
            </w:pPr>
            <w:r/>
            <w:r>
              <w:rPr>
                <w:rFonts w:ascii="Aptos" w:hAnsi="Aptos"/>
                <w:b/>
                <w:color w:val="000000"/>
                <w:sz w:val="24"/>
              </w:rPr>
              <w:t>Requisitos no funcionales (transversales a ambos módulos)</w:t>
            </w:r>
          </w:p>
          <w:p>
            <w:pPr>
              <w:spacing w:line="120" w:lineRule="atLeast" w:after="0"/>
            </w:pPr>
            <w:r/>
            <w:r>
              <w:rPr>
                <w:rFonts w:ascii="Aptos" w:hAnsi="Aptos"/>
                <w:b w:val="0"/>
                <w:color w:val="000000"/>
                <w:sz w:val="12"/>
              </w:rPr>
            </w:r>
          </w:p>
          <w:tbl>
            <w:tblPr>
              <w:tblStyle w:val="TableGrid"/>
              <w:tblW w:type="auto" w:w="0"/>
              <w:jc w:val="center"/>
              <w:tblLook w:firstColumn="1" w:firstRow="1" w:lastColumn="0" w:lastRow="0" w:noHBand="0" w:noVBand="1" w:val="04A0"/>
              <w:tblW w:w="8504" w:type="dxa"/>
            </w:tblPr>
            <w:tblGrid>
              <w:gridCol w:w="2835"/>
              <w:gridCol w:w="2835"/>
              <w:gridCol w:w="2835"/>
            </w:tblGrid>
            <w:tr>
              <w:trPr>
                <w:trHeight w:val="371" w:hRule="atLeast"/>
              </w:trPr>
              <w:tc>
                <w:tcPr>
                  <w:tcW w:type="dxa" w:w="2835"/>
                  <w:tcW w:w="907" w:type="dxa"/>
                  <w:tcMar>
                    <w:top w:w="100" w:type="dxa"/>
                    <w:bottom w:w="100" w:type="dxa"/>
                    <w:left w:w="140" w:type="dxa"/>
                    <w:right w:w="140" w:type="dxa"/>
                  </w:tcMar>
                  <w:shd w:fill="D1D1D1"/>
                </w:tcPr>
                <w:p>
                  <w:pPr>
                    <w:spacing w:line="375" w:lineRule="atLeast" w:after="0"/>
                  </w:pPr>
                  <w:r/>
                  <w:r>
                    <w:rPr>
                      <w:rFonts w:ascii="Aptos" w:hAnsi="Aptos"/>
                      <w:b/>
                      <w:color w:val="000000"/>
                      <w:sz w:val="24"/>
                    </w:rPr>
                    <w:t>N°</w:t>
                  </w:r>
                </w:p>
              </w:tc>
              <w:tc>
                <w:tcPr>
                  <w:tcW w:type="dxa" w:w="2835"/>
                  <w:tcW w:w="2495" w:type="dxa"/>
                  <w:tcMar>
                    <w:top w:w="100" w:type="dxa"/>
                    <w:bottom w:w="100" w:type="dxa"/>
                    <w:left w:w="140" w:type="dxa"/>
                    <w:right w:w="140" w:type="dxa"/>
                  </w:tcMar>
                  <w:shd w:fill="D1D1D1"/>
                </w:tcPr>
                <w:p>
                  <w:pPr>
                    <w:spacing w:line="375" w:lineRule="atLeast" w:after="0"/>
                  </w:pPr>
                  <w:r/>
                  <w:r>
                    <w:rPr>
                      <w:rFonts w:ascii="Aptos" w:hAnsi="Aptos"/>
                      <w:b/>
                      <w:color w:val="000000"/>
                      <w:sz w:val="24"/>
                    </w:rPr>
                    <w:t>Requerimiento</w:t>
                  </w:r>
                </w:p>
              </w:tc>
              <w:tc>
                <w:tcPr>
                  <w:tcW w:type="dxa" w:w="2835"/>
                  <w:tcW w:w="5102" w:type="dxa"/>
                  <w:tcMar>
                    <w:top w:w="100" w:type="dxa"/>
                    <w:bottom w:w="100" w:type="dxa"/>
                    <w:left w:w="140" w:type="dxa"/>
                    <w:right w:w="140" w:type="dxa"/>
                  </w:tcMar>
                  <w:shd w:fill="D1D1D1"/>
                </w:tcPr>
                <w:p>
                  <w:pPr>
                    <w:spacing w:line="375" w:lineRule="atLeast" w:after="0"/>
                  </w:pPr>
                  <w:r/>
                  <w:r>
                    <w:rPr>
                      <w:rFonts w:ascii="Aptos" w:hAnsi="Aptos"/>
                      <w:b/>
                      <w:color w:val="000000"/>
                      <w:sz w:val="24"/>
                    </w:rPr>
                    <w:t>Descripción</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RNF1</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Procesamiento eficiente y concurrencia asíncrona no bloqueante</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procesará cargas masivas y consultas a SUNAT de manera totalmente asíncrona mediante FastAPI y asyncio, utilizando hilos en segundo plano y semáforos de concurrencia que eviten el bloqueo del hilo principal de la aplicación y aseguren tiempos de respuesta óptimos para el usuario en la interfaz web.</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RNF2</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Seguridad perimetral, autenticación JWT y multitenancy estricto</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protegerá el acceso a las funciones y datos mediante autenticación robusta basada en tokens JWT firmados criptográficamente y control de acceso basado en roles (RBAC). Garantizará el aislamiento estricto de los datos entre diferentes empresas contribuyentes (multitenancy) en cada consulta y mantendrá las credenciales OAuth2 de SUNAT resguardadas en variables de entorno en el servidor.</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RNF3</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Integridad de datos, idempotencia y prevención de duplicados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garantizará la consistencia y fidelidad de los datos contables y tributarios mediante claves foráneas e índices en PostgreSQL. Implementará control de idempotencia para transacciones masivas mediante claves únicas, preservará los montos originales contables y evitará el registro de comprobantes redundantes dentro del mismo lote.</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RNF4</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Disponibilidad, resiliencia y tolerancia a fallos transitorios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contará con mecanismos de manejo de excepciones y reintentos automáticos controlados frente a caídas temporales o intermitencias en los servicios web de SUNAT. El fallo en la validación de un comprobante particular se aislará para que no interrumpa el procesamiento continuo de los demás comprobantes del lote masivo.</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RNF5</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Usabilidad, claridad visual y experiencia de usuario adaptativa</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dispondrá de una interfaz gráfica web moderna, intuitiva y responsiva desarrollada en React. Utilizará una semántica visual clara con códigos de color para los estados tributarios (verde para Válido, rojo para No Válido, amarillo para Observado y gris para Error), barras de progreso dinámicas y filtros interactivos que agilicen la labor del contador.</w:t>
                  </w:r>
                </w:p>
              </w:tc>
            </w:tr>
            <w:tr>
              <w:trPr>
                <w:trHeight w:val="350" w:hRule="atLeast"/>
              </w:trPr>
              <w:tc>
                <w:tcPr>
                  <w:tcW w:type="dxa" w:w="2835"/>
                  <w:tcW w:w="907" w:type="dxa"/>
                  <w:tcMar>
                    <w:top w:w="100" w:type="dxa"/>
                    <w:bottom w:w="100" w:type="dxa"/>
                    <w:left w:w="140" w:type="dxa"/>
                    <w:right w:w="140" w:type="dxa"/>
                  </w:tcMar>
                </w:tcPr>
                <w:p>
                  <w:pPr>
                    <w:spacing w:line="375" w:lineRule="atLeast" w:after="0"/>
                  </w:pPr>
                  <w:r/>
                  <w:r>
                    <w:rPr>
                      <w:rFonts w:ascii="Aptos" w:hAnsi="Aptos"/>
                      <w:b w:val="0"/>
                      <w:color w:val="000000"/>
                      <w:sz w:val="22"/>
                    </w:rPr>
                    <w:t>RNF6</w:t>
                  </w:r>
                </w:p>
              </w:tc>
              <w:tc>
                <w:tcPr>
                  <w:tcW w:type="dxa" w:w="2835"/>
                  <w:tcW w:w="2495" w:type="dxa"/>
                  <w:tcMar>
                    <w:top w:w="100" w:type="dxa"/>
                    <w:bottom w:w="100" w:type="dxa"/>
                    <w:left w:w="140" w:type="dxa"/>
                    <w:right w:w="140" w:type="dxa"/>
                  </w:tcMar>
                </w:tcPr>
                <w:p>
                  <w:pPr>
                    <w:spacing w:line="375" w:lineRule="atLeast" w:after="0"/>
                  </w:pPr>
                  <w:r/>
                  <w:r>
                    <w:rPr>
                      <w:rFonts w:ascii="Aptos" w:hAnsi="Aptos"/>
                      <w:b w:val="0"/>
                      <w:color w:val="000000"/>
                      <w:sz w:val="22"/>
                    </w:rPr>
                    <w:t>Trazabilidad, auditoría inmutable y protección contra inyecciones</w:t>
                  </w:r>
                </w:p>
              </w:tc>
              <w:tc>
                <w:tcPr>
                  <w:tcW w:type="dxa" w:w="2835"/>
                  <w:tcW w:w="5102" w:type="dxa"/>
                  <w:tcMar>
                    <w:top w:w="100" w:type="dxa"/>
                    <w:bottom w:w="100" w:type="dxa"/>
                    <w:left w:w="140" w:type="dxa"/>
                    <w:right w:w="140" w:type="dxa"/>
                  </w:tcMar>
                </w:tcPr>
                <w:p>
                  <w:pPr>
                    <w:spacing w:line="375" w:lineRule="atLeast" w:after="0"/>
                  </w:pPr>
                  <w:r/>
                  <w:r>
                    <w:rPr>
                      <w:rFonts w:ascii="Aptos" w:hAnsi="Aptos"/>
                      <w:b w:val="0"/>
                      <w:color w:val="000000"/>
                      <w:sz w:val="22"/>
                    </w:rPr>
                    <w:t>El sistema registrará eventos de auditoría inmutables vinculando usuario, empresa, acción, fecha/hora e IP. Asimismo, aplicará mecanismos de protección perimetral contra inyecciones de fórmulas en la generación de archivos Excel (Formula Injection), validación de esquemas Pydantic y sanitización automática de credenciales en los logs del sistema.</w:t>
                  </w:r>
                </w:p>
              </w:tc>
            </w:tr>
          </w:tbl>
          <w:p/>
          <w:p>
            <w:pPr>
              <w:spacing w:line="120" w:lineRule="atLeast" w:after="0"/>
            </w:pPr>
            <w:r/>
            <w:r>
              <w:rPr>
                <w:rFonts w:ascii="Aptos" w:hAnsi="Aptos"/>
                <w:b w:val="0"/>
                <w:color w:val="000000"/>
                <w:sz w:val="12"/>
              </w:rPr>
            </w:r>
          </w:p>
        </w:tc>
      </w:tr>
    </w:tbl>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