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W w:w="8576" w:type="dxa"/>
      </w:tblPr>
      <w:tblGrid>
        <w:gridCol w:w="8504"/>
      </w:tblGrid>
      <w:tr>
        <w:tc>
          <w:tcPr>
            <w:tcW w:type="dxa" w:w="8504"/>
            <w:tcW w:w="8576" w:type="dxa"/>
            <w:tcMar>
              <w:top w:w="140" w:type="dxa"/>
              <w:bottom w:w="140" w:type="dxa"/>
              <w:left w:w="140" w:type="dxa"/>
              <w:right w:w="140" w:type="dxa"/>
            </w:tcMar>
          </w:tcPr>
          <w:p>
            <w:pPr>
              <w:spacing w:line="375" w:lineRule="atLeast" w:after="120"/>
            </w:pPr>
            <w:r/>
            <w:r>
              <w:rPr>
                <w:rFonts w:ascii="Aptos" w:hAnsi="Aptos"/>
                <w:b/>
                <w:color w:val="000000"/>
                <w:sz w:val="24"/>
              </w:rPr>
              <w:t>Módulo 2: Validación SUNAT, Procesamiento y Gestión de Resultados</w:t>
            </w:r>
          </w:p>
          <w:p>
            <w:pPr>
              <w:spacing w:line="120" w:lineRule="atLeast" w:after="0"/>
            </w:pPr>
            <w:r/>
            <w:r>
              <w:rPr>
                <w:rFonts w:ascii="Aptos" w:hAnsi="Aptos"/>
                <w:b w:val="0"/>
                <w:color w:val="000000"/>
                <w:sz w:val="12"/>
              </w:rPr>
            </w:r>
          </w:p>
          <w:tbl>
            <w:tblPr>
              <w:tblStyle w:val="TableGrid"/>
              <w:tblW w:type="auto" w:w="0"/>
              <w:jc w:val="center"/>
              <w:tblLook w:firstColumn="1" w:firstRow="1" w:lastColumn="0" w:lastRow="0" w:noHBand="0" w:noVBand="1" w:val="04A0"/>
              <w:tblW w:w="8504" w:type="dxa"/>
            </w:tblPr>
            <w:tblGrid>
              <w:gridCol w:w="2835"/>
              <w:gridCol w:w="2835"/>
              <w:gridCol w:w="2835"/>
            </w:tblGrid>
            <w:tr>
              <w:trPr>
                <w:trHeight w:val="371" w:hRule="atLeast"/>
              </w:trPr>
              <w:tc>
                <w:tcPr>
                  <w:tcW w:type="dxa" w:w="2835"/>
                  <w:tcW w:w="907" w:type="dxa"/>
                  <w:tcMar>
                    <w:top w:w="100" w:type="dxa"/>
                    <w:bottom w:w="100" w:type="dxa"/>
                    <w:left w:w="140" w:type="dxa"/>
                    <w:right w:w="140" w:type="dxa"/>
                  </w:tcMar>
                  <w:shd w:fill="D1D1D1"/>
                </w:tcPr>
                <w:p>
                  <w:pPr>
                    <w:spacing w:line="375" w:lineRule="atLeast" w:after="0"/>
                  </w:pPr>
                  <w:r/>
                  <w:r>
                    <w:rPr>
                      <w:rFonts w:ascii="Aptos" w:hAnsi="Aptos"/>
                      <w:b/>
                      <w:color w:val="000000"/>
                      <w:sz w:val="24"/>
                    </w:rPr>
                    <w:t>N°</w:t>
                  </w:r>
                </w:p>
              </w:tc>
              <w:tc>
                <w:tcPr>
                  <w:tcW w:type="dxa" w:w="2835"/>
                  <w:tcW w:w="2495" w:type="dxa"/>
                  <w:tcMar>
                    <w:top w:w="100" w:type="dxa"/>
                    <w:bottom w:w="100" w:type="dxa"/>
                    <w:left w:w="140" w:type="dxa"/>
                    <w:right w:w="140" w:type="dxa"/>
                  </w:tcMar>
                  <w:shd w:fill="D1D1D1"/>
                </w:tcPr>
                <w:p>
                  <w:pPr>
                    <w:spacing w:line="375" w:lineRule="atLeast" w:after="0"/>
                  </w:pPr>
                  <w:r/>
                  <w:r>
                    <w:rPr>
                      <w:rFonts w:ascii="Aptos" w:hAnsi="Aptos"/>
                      <w:b/>
                      <w:color w:val="000000"/>
                      <w:sz w:val="24"/>
                    </w:rPr>
                    <w:t>Requerimiento</w:t>
                  </w:r>
                </w:p>
              </w:tc>
              <w:tc>
                <w:tcPr>
                  <w:tcW w:type="dxa" w:w="2835"/>
                  <w:tcW w:w="5102" w:type="dxa"/>
                  <w:tcMar>
                    <w:top w:w="100" w:type="dxa"/>
                    <w:bottom w:w="100" w:type="dxa"/>
                    <w:left w:w="140" w:type="dxa"/>
                    <w:right w:w="140" w:type="dxa"/>
                  </w:tcMar>
                  <w:shd w:fill="D1D1D1"/>
                </w:tcPr>
                <w:p>
                  <w:pPr>
                    <w:spacing w:line="375" w:lineRule="atLeast" w:after="0"/>
                  </w:pPr>
                  <w:r/>
                  <w:r>
                    <w:rPr>
                      <w:rFonts w:ascii="Aptos" w:hAnsi="Aptos"/>
                      <w:b/>
                      <w:color w:val="000000"/>
                      <w:sz w:val="24"/>
                    </w:rPr>
                    <w:t>Descripción</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RF14</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Autenticación OAuth2 y gestión inteligente de tokens de acceso SUNAT</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gestionará la autenticación ante el servidor oficial de identidad de SUNAT (api-seguridad.sunat.gob.pe) mediante el flujo OAuth2 client_credentials, utilizando el client_id y client_secret configurados para la empresa activa. Implementará un mecanismo de almacenamiento en caché en memoria por RUC de la empresa con tiempo de expiración y buffer de seguridad de 60 segundos para evitar llamadas repetitivas de autenticación, empleando candados asíncronos (asyncio.Lock) para prevenir condiciones de carrera en solicitudes simultáneas.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RF15</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Consulta y validación individual de comprobantes ante web service SUNAT</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permitirá la consulta individual e inmediata de un comprobante de pago electrónico ante la API oficial de SUNAT (validarcomprobante), transmitiendo el RUC de la empresa consultora en la URL y enviando en el cuerpo JSON: RUC emisor, código de tipo de comprobante, serie, número correlativo, fecha de emisión (DD/MM/YYYY) e importe total. Registrará de forma inmediata el resultado en la base de datos PostgreSQL en la entidad ConsultaCPE y retornará la respuesta detallada con la descripción del estado y datos de la empresa consultora.</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RF16</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Orquestación y despacho asíncrono de procesos masivos con soporte de idempotencia</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recibirá el lote de comprobantes preparados y seleccionados por el Integrante 1, persistiendo de manera atómica el registro maestro del proceso masivo (ProcesoMasivo) y cada uno de sus ítems individuales (ProcesoMasivoItem) en PostgreSQL con estado inicial PENDIENTE. Soportará la cabecera Idempotency-Key para evitar la creación duplicada de procesos ante reintentos o clics repetidos en el cliente web, y despachará la ejecución del procesamiento masivo en segundo plano mediante tareas desacopladas (asyncio.create_task), respondiendo inmediatamente al frontend con el identificador del proceso.</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RF17</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Control de concurrencia y tasa de despacho hacia la API de SUNAT</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worker en segundo plano procesará los ítems del lote aplicando un control estricto de concurrencia mediante semáforos asíncronos (asyncio.Semaphore), regulando el número máximo de peticiones HTTP simultáneas (configurable, ej. 5 solicitudes concurrentes). Asimismo, intercalará un retraso configurable (SUNAT_REQUEST_DELAY_MS) entre peticiones para regular el tráfico y cumplir con las políticas de consumo responsable de la infraestructura de SUNAT, garantizando que las llamadas externas se realicen fuera de transacciones abiertas de base de datos para no bloquear conexiones del pool.</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RF18</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Resiliencia técnica y política de reintentos inteligentes ante fallas de red y HTTP 401</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implementará una política de reintentos selectivos: si el servicio de SUNAT responde con código HTTP 401 (token expirado o revocado), el sistema invalidará inmediatamente el token en caché, solicitará un nuevo token Bearer y reintentará la petición exactamente una vez. Ante errores técnicos transitorios de comunicación (timeouts de conexión o caídas de red), ejecutará hasta un número máximo de reintentos automáticos (configurable, ej. 3 intentos) registrando el número de intentos realizados; por el contrario, los errores de negocio tributario no serán reintentados para evitar sobrecarga inútil.</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RF19</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Interpretación determinista de respuestas SUNAT según catálogo oficial</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interpretará exhaustivamente la respuesta JSON devuelta por SUNAT conforme al manual oficial de consulta de validez. Decodificará los códigos oficiales de estado del comprobante (estadoCp: 0=No Existe, 1=Aceptado, 2=Anulado, 3=Autorizado, 4=No Autorizado), estado del contribuyente (estadoRuc: 00=Activo, 01=Baja Provisional, etc.) y condición del domicilio fiscal (condDomiRuc: 00=Habido, 12=No Habido, 20=No Hallado), así como la lista de observaciones. Clasificará el comprobante de forma unificada y determinista en uno de cuatro estados internos: VALIDO (Aceptado, Activo y Habido sin observaciones), NO_VALIDO (No Existe, Anulado o No Autorizado), OBSERVADO (comprobante informado pero con emisor No Habido, RUC no activo o con observaciones tributarias) o ERROR (falla técnica de comunicación o respuesta no interpretable).</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RF20</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Monitoreo en tiempo real del progreso del proceso masivo</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calculará y actualizará dinámicamente en la base de datos el progreso del procesamiento en curso: porcentaje completado con dos decimales, total de registros procesados, cantidad acumulada de comprobantes válidos, no válidos, observados y con error, junto con las marcas de tiempo de inicio (started_at) y culminación (finished_at). La interfaz web consumirá periódicamente el estado del proceso mediante peticiones asíncronas de polling, reflejando una barra de progreso animada y contadores reactivos sin requerir la recarga manual de la página web.</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RF21</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Reintento focalizado de comprobantes con error técnico</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permitirá al usuario ejecutar un reprocesamiento bajo demanda exclusivo para aquellos comprobantes que hayan culminado en estado ERROR debido a caídas transitorias de conexión o saturación temporal de SUNAT. El servicio reactivará únicamente los ítems fallidos reiniciando sus contadores de intentos y lanzando un worker dedicado en segundo plano, preservando inalterados los comprobantes que ya obtuvieron un resultado fiscal definitivo (Válido, No Válido u Observado).</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RF22</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Historial, búsqueda multicriterio y detalle granular de comprobantes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almacenará de manera permanente el histórico de todos los procesos masivos y consultas individuales ejecutadas para la empresa. Permitirá realizar búsquedas avanzadas y aplicar filtros combinados por rango de fechas de emisión o proceso, número de RUC emisor, serie, número correlativo, razón social, estado de validación interno (VALIDO, NO_VALIDO, OBSERVADO, ERROR) y código oficial de SUNAT. Cada registro dispondrá de una vista de detalle granular que exhibirá la respuesta JSON cruda sanitizada de SUNAT, código de estado HTTP y observaciones tributarias.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RF23</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Dashboard analítico y consolidación estadística tributaria</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ofrecerá un panel de control gerencial (Dashboard) que consolidará métricas estadísticas en tiempo real calculadas directamente en PostgreSQL para la empresa activa. Mostrará tarjetas con el total acumulado de comprobantes consultados, distribución porcentual y cuantitativa por estado fiscal (válidos, no válidos, observados y errores), importes monetarios totales validados, desglose de errores frecuentes y filtros temporales interactivos por período, permitiendo a los contadores evaluar el riesgo tributario de sus adquisiciones.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RF24</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Exportación de reportes oficiales a Excel con protección contra inyección de fórmulas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permitirá descargar los resultados completos y oficiales de cualquier proceso masivo en formato Excel (.xlsx). El archivo incluirá encabezados formales con los datos de la empresa consultora, estadísticas del lote, detalle de cada comprobante con su clave fiscal, fecha, monto_original contable, monto consultado a SUNAT, estado obtenido, código de respuesta y observaciones normativas de SUNAT. El servicio aplicará protección rigurosa contra vulnerabilidades de inyección de fórmulas en hojas de cálculo (CSV/Excel Formula Injection, neutralizando celdas que inicien con =, +, -, @) y aplicará rate limiting de descargas.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RF25</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Auditoría inmutable de operaciones y sanitización de datos sensibles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mantendrá una bitácora inmutable de auditoría en la tabla auditoria_eventos, registrando cada acción relevante realizada por los usuarios (inicio de consultas masivas, consultas individuales, reintentos de errores, descargas de reportes Excel y rechazos de archivos). Cada registro capturará automáticamente el identificador de usuario, empresa asociada, acción, entidad afectada, detalle contextual en formato JSON, marca de tiempo y dirección IP del cliente. La información almacenada será sanitizada de manera estricta y recursiva para excluir cualquier secreto, token Bearer, credencial SOL o contraseña.</w:t>
                  </w:r>
                </w:p>
              </w:tc>
            </w:tr>
          </w:tbl>
          <w:p/>
          <w:p>
            <w:pPr>
              <w:spacing w:line="160" w:lineRule="atLeast" w:after="0"/>
            </w:pPr>
            <w:r/>
            <w:r>
              <w:rPr>
                <w:rFonts w:ascii="Aptos" w:hAnsi="Aptos"/>
                <w:b w:val="0"/>
                <w:color w:val="000000"/>
                <w:sz w:val="16"/>
              </w:rPr>
            </w:r>
          </w:p>
          <w:p>
            <w:pPr>
              <w:spacing w:line="375" w:lineRule="atLeast" w:after="120"/>
            </w:pPr>
            <w:r/>
            <w:r>
              <w:rPr>
                <w:rFonts w:ascii="Aptos" w:hAnsi="Aptos"/>
                <w:b/>
                <w:color w:val="000000"/>
                <w:sz w:val="24"/>
              </w:rPr>
              <w:t>Requisitos no funcionales (transversales a ambos módulos)</w:t>
            </w:r>
          </w:p>
          <w:p>
            <w:pPr>
              <w:spacing w:line="120" w:lineRule="atLeast" w:after="0"/>
            </w:pPr>
            <w:r/>
            <w:r>
              <w:rPr>
                <w:rFonts w:ascii="Aptos" w:hAnsi="Aptos"/>
                <w:b w:val="0"/>
                <w:color w:val="000000"/>
                <w:sz w:val="12"/>
              </w:rPr>
            </w:r>
          </w:p>
          <w:tbl>
            <w:tblPr>
              <w:tblStyle w:val="TableGrid"/>
              <w:tblW w:type="auto" w:w="0"/>
              <w:jc w:val="center"/>
              <w:tblLook w:firstColumn="1" w:firstRow="1" w:lastColumn="0" w:lastRow="0" w:noHBand="0" w:noVBand="1" w:val="04A0"/>
              <w:tblW w:w="8504" w:type="dxa"/>
            </w:tblPr>
            <w:tblGrid>
              <w:gridCol w:w="2835"/>
              <w:gridCol w:w="2835"/>
              <w:gridCol w:w="2835"/>
            </w:tblGrid>
            <w:tr>
              <w:trPr>
                <w:trHeight w:val="371" w:hRule="atLeast"/>
              </w:trPr>
              <w:tc>
                <w:tcPr>
                  <w:tcW w:type="dxa" w:w="2835"/>
                  <w:tcW w:w="907" w:type="dxa"/>
                  <w:tcMar>
                    <w:top w:w="100" w:type="dxa"/>
                    <w:bottom w:w="100" w:type="dxa"/>
                    <w:left w:w="140" w:type="dxa"/>
                    <w:right w:w="140" w:type="dxa"/>
                  </w:tcMar>
                  <w:shd w:fill="D1D1D1"/>
                </w:tcPr>
                <w:p>
                  <w:pPr>
                    <w:spacing w:line="375" w:lineRule="atLeast" w:after="0"/>
                  </w:pPr>
                  <w:r/>
                  <w:r>
                    <w:rPr>
                      <w:rFonts w:ascii="Aptos" w:hAnsi="Aptos"/>
                      <w:b/>
                      <w:color w:val="000000"/>
                      <w:sz w:val="24"/>
                    </w:rPr>
                    <w:t>N°</w:t>
                  </w:r>
                </w:p>
              </w:tc>
              <w:tc>
                <w:tcPr>
                  <w:tcW w:type="dxa" w:w="2835"/>
                  <w:tcW w:w="2495" w:type="dxa"/>
                  <w:tcMar>
                    <w:top w:w="100" w:type="dxa"/>
                    <w:bottom w:w="100" w:type="dxa"/>
                    <w:left w:w="140" w:type="dxa"/>
                    <w:right w:w="140" w:type="dxa"/>
                  </w:tcMar>
                  <w:shd w:fill="D1D1D1"/>
                </w:tcPr>
                <w:p>
                  <w:pPr>
                    <w:spacing w:line="375" w:lineRule="atLeast" w:after="0"/>
                  </w:pPr>
                  <w:r/>
                  <w:r>
                    <w:rPr>
                      <w:rFonts w:ascii="Aptos" w:hAnsi="Aptos"/>
                      <w:b/>
                      <w:color w:val="000000"/>
                      <w:sz w:val="24"/>
                    </w:rPr>
                    <w:t>Requerimiento</w:t>
                  </w:r>
                </w:p>
              </w:tc>
              <w:tc>
                <w:tcPr>
                  <w:tcW w:type="dxa" w:w="2835"/>
                  <w:tcW w:w="5102" w:type="dxa"/>
                  <w:tcMar>
                    <w:top w:w="100" w:type="dxa"/>
                    <w:bottom w:w="100" w:type="dxa"/>
                    <w:left w:w="140" w:type="dxa"/>
                    <w:right w:w="140" w:type="dxa"/>
                  </w:tcMar>
                  <w:shd w:fill="D1D1D1"/>
                </w:tcPr>
                <w:p>
                  <w:pPr>
                    <w:spacing w:line="375" w:lineRule="atLeast" w:after="0"/>
                  </w:pPr>
                  <w:r/>
                  <w:r>
                    <w:rPr>
                      <w:rFonts w:ascii="Aptos" w:hAnsi="Aptos"/>
                      <w:b/>
                      <w:color w:val="000000"/>
                      <w:sz w:val="24"/>
                    </w:rPr>
                    <w:t>Descripción</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RNF1</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Procesamiento eficiente y concurrencia asíncrona no bloqueante</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procesará cargas masivas y consultas a SUNAT de manera totalmente asíncrona mediante FastAPI y asyncio, utilizando hilos en segundo plano y semáforos de concurrencia que eviten el bloqueo del hilo principal de la aplicación y aseguren tiempos de respuesta óptimos para el usuario en la interfaz web.</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RNF2</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Seguridad perimetral, autenticación JWT y multitenancy estricto</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protegerá el acceso a las funciones y datos mediante autenticación robusta basada en tokens JWT firmados criptográficamente y control de acceso basado en roles (RBAC). Garantizará el aislamiento estricto de los datos entre diferentes empresas contribuyentes (multitenancy) en cada consulta y mantendrá las credenciales OAuth2 de SUNAT resguardadas en variables de entorno en el servidor.</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RNF3</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Integridad de datos, idempotencia y prevención de duplicados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garantizará la consistencia y fidelidad de los datos contables y tributarios mediante claves foráneas e índices en PostgreSQL. Implementará control de idempotencia para transacciones masivas mediante claves únicas, preservará los montos originales contables y evitará el registro de comprobantes redundantes dentro del mismo lote.</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RNF4</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Disponibilidad, resiliencia y tolerancia a fallos transitorios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contará con mecanismos de manejo de excepciones y reintentos automáticos controlados frente a caídas temporales o intermitencias en los servicios web de SUNAT. El fallo en la validación de un comprobante particular se aislará para que no interrumpa el procesamiento continuo de los demás comprobantes del lote masivo.</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RNF5</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Usabilidad, claridad visual y experiencia de usuario adaptativa</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dispondrá de una interfaz gráfica web moderna, intuitiva y responsiva desarrollada en React. Utilizará una semántica visual clara con códigos de color para los estados tributarios (verde para Válido, rojo para No Válido, amarillo para Observado y gris para Error), barras de progreso dinámicas y filtros interactivos que agilicen la labor del contador.</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RNF6</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Trazabilidad, auditoría inmutable y protección contra inyecciones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registrará eventos de auditoría inmutables vinculando usuario, empresa, acción, fecha/hora e IP. Asimismo, aplicará mecanismos de protección perimetral contra inyecciones de fórmulas en la generación de archivos Excel (Formula Injection), validación de esquemas Pydantic y sanitización automática de credenciales en los logs del sistema.</w:t>
                  </w:r>
                </w:p>
              </w:tc>
            </w:tr>
          </w:tbl>
          <w:p/>
          <w:p>
            <w:pPr>
              <w:spacing w:line="120" w:lineRule="atLeast" w:after="0"/>
            </w:pPr>
            <w:r/>
            <w:r>
              <w:rPr>
                <w:rFonts w:ascii="Aptos" w:hAnsi="Aptos"/>
                <w:b w:val="0"/>
                <w:color w:val="000000"/>
                <w:sz w:val="12"/>
              </w:rPr>
            </w:r>
          </w:p>
        </w:tc>
      </w:tr>
    </w:tbl>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