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3B92" w14:textId="77777777" w:rsidR="00E573FC" w:rsidRPr="007C7CF9" w:rsidRDefault="00E573FC" w:rsidP="00E573FC">
      <w:pPr>
        <w:pStyle w:val="Ttulo2"/>
        <w:spacing w:before="240" w:after="120" w:line="360" w:lineRule="auto"/>
        <w:jc w:val="both"/>
        <w:rPr>
          <w:rFonts w:ascii="Times New Roman" w:hAnsi="Times New Roman" w:cs="Times New Roman"/>
          <w:b/>
          <w:bCs/>
          <w:color w:val="000000" w:themeColor="text1"/>
          <w:sz w:val="24"/>
          <w:szCs w:val="24"/>
        </w:rPr>
      </w:pPr>
      <w:r w:rsidRPr="007C7CF9">
        <w:rPr>
          <w:rFonts w:ascii="Times New Roman" w:hAnsi="Times New Roman" w:cs="Times New Roman"/>
          <w:b/>
          <w:bCs/>
          <w:color w:val="000000" w:themeColor="text1"/>
          <w:sz w:val="24"/>
          <w:szCs w:val="24"/>
        </w:rPr>
        <w:t>Prototipar</w:t>
      </w:r>
    </w:p>
    <w:p w14:paraId="09694FF2" w14:textId="77777777" w:rsidR="00E573FC" w:rsidRPr="007C7CF9" w:rsidRDefault="00E573FC" w:rsidP="00E573FC">
      <w:pPr>
        <w:pStyle w:val="Ttulo3"/>
        <w:shd w:val="clear" w:color="auto" w:fill="FFFFFF"/>
        <w:spacing w:before="120" w:after="120" w:line="450" w:lineRule="atLeast"/>
        <w:rPr>
          <w:rFonts w:ascii="Times New Roman" w:hAnsi="Times New Roman" w:cs="Times New Roman"/>
          <w:b/>
          <w:bCs/>
          <w:color w:val="000000" w:themeColor="text1"/>
          <w:lang w:eastAsia="es-ES"/>
        </w:rPr>
      </w:pPr>
      <w:r>
        <w:t>Módulo 2: Validación SUNAT, Procesamiento y Gestión de Resultados</w:t>
      </w:r>
    </w:p>
    <w:p w14:paraId="282CACB7" w14:textId="77777777" w:rsidR="00E573FC" w:rsidRPr="00E50D70" w:rsidRDefault="00E573FC" w:rsidP="00E573FC">
      <w:pPr>
        <w:pStyle w:val="ds-markdown-paragraph"/>
        <w:shd w:val="clear" w:color="auto" w:fill="FFFFFF"/>
        <w:spacing w:before="240" w:beforeAutospacing="0" w:after="240" w:afterAutospacing="0"/>
        <w:rPr>
          <w:color w:val="000000" w:themeColor="text1"/>
        </w:rPr>
      </w:pPr>
      <w:r w:rsidRPr="00E50D70">
        <w:rPr>
          <w:rStyle w:val="Fuerte"/>
          <w:color w:val="000000" w:themeColor="text1"/>
        </w:rPr>
        <w:t>Requisitos funcionales:</w:t>
      </w:r>
    </w:p>
    <w:p w14:paraId="54EAABFD" w14:textId="77777777" w:rsidR="00E573FC" w:rsidRDefault="00E573FC" w:rsidP="00E573FC">
      <w:pPr>
        <w:pStyle w:val="Descripcin"/>
        <w:keepNext/>
      </w:pPr>
      <w:bookmarkStart w:id="1" w:name="_Toc241270026"/>
      <w:r>
        <w:t xml:space="preserve">Tabla </w:t>
      </w:r>
      <w:r>
        <w:fldChar w:fldCharType="begin"/>
      </w:r>
      <w:r>
        <w:instrText xml:space="preserve"> SEQ Tabla \* ARABIC </w:instrText>
      </w:r>
      <w:r>
        <w:fldChar w:fldCharType="separate"/>
      </w:r>
      <w:r>
        <w:rPr>
          <w:noProof/>
        </w:rPr>
        <w:t>2</w:t>
      </w:r>
      <w:r>
        <w:fldChar w:fldCharType="end"/>
      </w:r>
      <w:r>
        <w:t>: Requisitos funcionales</w:t>
      </w:r>
      <w:bookmarkEnd w:id="1"/>
    </w:p>
    <w:tbl>
      <w:tblPr>
        <w:tblStyle w:val="Tablaconcuadrcula"/>
        <w:tblW w:w="9236" w:type="dxa"/>
        <w:tblLook w:val="04A0" w:firstRow="1" w:lastRow="0" w:firstColumn="1" w:lastColumn="0" w:noHBand="0" w:noVBand="1"/>
      </w:tblPr>
      <w:tblGrid>
        <w:gridCol w:w="776"/>
        <w:gridCol w:w="7244"/>
        <w:gridCol w:w="1216"/>
      </w:tblGrid>
      <w:tr w:rsidR="00E573FC" w:rsidRPr="00E50D70" w14:paraId="54313DAE" w14:textId="77777777" w:rsidTr="00313338">
        <w:trPr>
          <w:trHeight w:val="371" w:hRule="atLeast"/>
        </w:trPr>
        <w:tc>
          <w:tcPr>
            <w:hideMark/>
            <w:tcW w:w="907" w:type="dxa"/>
            <w:tcMar>
              <w:top w:w="80" w:type="dxa"/>
              <w:bottom w:w="80" w:type="dxa"/>
              <w:left w:w="120" w:type="dxa"/>
              <w:right w:w="120" w:type="dxa"/>
            </w:tcMar>
          </w:tcPr>
          <w:p w14:paraId="49D4FC00" w14:textId="77777777" w:rsidR="00E573FC" w:rsidRPr="00537218" w:rsidRDefault="00E573FC" w:rsidP="00313338">
            <w:pPr>
              <w:jc w:val="left"/>
              <w:rPr>
                <w:sz w:val="24"/>
                <w:szCs w:val="24"/>
              </w:rPr>
              <w:spacing w:line="375" w:lineRule="atLeast" w:after="0" w:before="0"/>
            </w:pPr>
            <w:r/>
            <w:r>
              <w:rPr>
                <w:rFonts w:ascii="Aptos" w:hAnsi="Aptos"/>
                <w:b/>
                <w:color w:val="000000"/>
                <w:sz w:val="24"/>
              </w:rPr>
              <w:t>N°</w:t>
            </w:r>
          </w:p>
        </w:tc>
        <w:tc>
          <w:tcPr>
            <w:hideMark/>
            <w:tcW w:w="6500" w:type="dxa"/>
            <w:tcMar>
              <w:top w:w="80" w:type="dxa"/>
              <w:bottom w:w="80" w:type="dxa"/>
              <w:left w:w="120" w:type="dxa"/>
              <w:right w:w="120" w:type="dxa"/>
            </w:tcMar>
          </w:tcPr>
          <w:p w14:paraId="0AD465D8" w14:textId="77777777" w:rsidR="00E573FC" w:rsidRPr="00537218" w:rsidRDefault="00E573FC" w:rsidP="00313338">
            <w:pPr>
              <w:jc w:val="left"/>
              <w:rPr>
                <w:sz w:val="24"/>
                <w:szCs w:val="24"/>
              </w:rPr>
              <w:spacing w:line="375" w:lineRule="atLeast" w:after="0" w:before="0"/>
            </w:pPr>
            <w:r/>
            <w:r>
              <w:rPr>
                <w:rFonts w:ascii="Aptos" w:hAnsi="Aptos"/>
                <w:b/>
                <w:color w:val="000000"/>
                <w:sz w:val="24"/>
              </w:rPr>
              <w:t>Requerimiento</w:t>
            </w:r>
          </w:p>
        </w:tc>
        <w:tc>
          <w:tcPr>
            <w:hideMark/>
            <w:tcW w:w="1100" w:type="dxa"/>
            <w:tcMar>
              <w:top w:w="80" w:type="dxa"/>
              <w:bottom w:w="80" w:type="dxa"/>
              <w:left w:w="120" w:type="dxa"/>
              <w:right w:w="120" w:type="dxa"/>
            </w:tcMar>
          </w:tcPr>
          <w:p w14:paraId="1153BAC8" w14:textId="77777777" w:rsidR="00E573FC" w:rsidRPr="00537218" w:rsidRDefault="00E573FC" w:rsidP="00313338">
            <w:pPr>
              <w:jc w:val="left"/>
              <w:rPr>
                <w:sz w:val="24"/>
                <w:szCs w:val="24"/>
              </w:rPr>
              <w:spacing w:line="375" w:lineRule="atLeast" w:after="0" w:before="0"/>
            </w:pPr>
            <w:r/>
            <w:r>
              <w:rPr>
                <w:rFonts w:ascii="Aptos" w:hAnsi="Aptos"/>
                <w:b/>
                <w:color w:val="000000"/>
                <w:sz w:val="24"/>
              </w:rPr>
              <w:t>Prioridad</w:t>
            </w:r>
          </w:p>
        </w:tc>
      </w:tr>
      <w:tr w:rsidR="00E573FC" w14:paraId="0A02B7E2" w14:textId="77777777" w:rsidTr="00313338">
        <w:trPr>
          <w:trHeight w:val="340" w:hRule="atLeast"/>
        </w:trPr>
        <w:tc>
          <w:tcPr>
            <w:tcW w:w="907" w:type="dxa"/>
            <w:tcMar>
              <w:top w:w="80" w:type="dxa"/>
              <w:bottom w:w="80" w:type="dxa"/>
              <w:left w:w="120" w:type="dxa"/>
              <w:right w:w="120" w:type="dxa"/>
            </w:tcMar>
          </w:tcPr>
          <w:p w14:paraId="001830C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RF14</w:t>
            </w:r>
          </w:p>
        </w:tc>
        <w:tc>
          <w:tcPr>
            <w:tcW w:w="6500" w:type="dxa"/>
            <w:tcMar>
              <w:top w:w="80" w:type="dxa"/>
              <w:bottom w:w="80" w:type="dxa"/>
              <w:left w:w="120" w:type="dxa"/>
              <w:right w:w="120" w:type="dxa"/>
            </w:tcMar>
          </w:tcPr>
          <w:p w14:paraId="3B14F43A"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Autenticación OAuth2 y gestión inteligente de tokens de acceso ante SUNAT (client_credentials)</w:t>
            </w:r>
          </w:p>
        </w:tc>
        <w:tc>
          <w:tcPr>
            <w:tcW w:w="1100" w:type="dxa"/>
            <w:tcMar>
              <w:top w:w="80" w:type="dxa"/>
              <w:bottom w:w="80" w:type="dxa"/>
              <w:left w:w="120" w:type="dxa"/>
              <w:right w:w="120" w:type="dxa"/>
            </w:tcMar>
          </w:tcPr>
          <w:p w14:paraId="2DEA210D"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496D422D" w14:textId="77777777" w:rsidTr="00313338">
        <w:trPr>
          <w:trHeight w:val="340" w:hRule="atLeast"/>
        </w:trPr>
        <w:tc>
          <w:tcPr>
            <w:tcW w:w="907" w:type="dxa"/>
            <w:tcMar>
              <w:top w:w="80" w:type="dxa"/>
              <w:bottom w:w="80" w:type="dxa"/>
              <w:left w:w="120" w:type="dxa"/>
              <w:right w:w="120" w:type="dxa"/>
            </w:tcMar>
          </w:tcPr>
          <w:p w14:paraId="25550982"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RF15</w:t>
            </w:r>
          </w:p>
        </w:tc>
        <w:tc>
          <w:tcPr>
            <w:tcW w:w="6500" w:type="dxa"/>
            <w:tcMar>
              <w:top w:w="80" w:type="dxa"/>
              <w:bottom w:w="80" w:type="dxa"/>
              <w:left w:w="120" w:type="dxa"/>
              <w:right w:w="120" w:type="dxa"/>
            </w:tcMar>
          </w:tcPr>
          <w:p w14:paraId="4A5A80BD"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Consulta y validación individual de comprobantes electrónicos en tiempo real ante web service SUNAT</w:t>
            </w:r>
          </w:p>
        </w:tc>
        <w:tc>
          <w:tcPr>
            <w:tcW w:w="1100" w:type="dxa"/>
            <w:tcMar>
              <w:top w:w="80" w:type="dxa"/>
              <w:bottom w:w="80" w:type="dxa"/>
              <w:left w:w="120" w:type="dxa"/>
              <w:right w:w="120" w:type="dxa"/>
            </w:tcMar>
          </w:tcPr>
          <w:p w14:paraId="0D09BB90"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214C0F92" w14:textId="77777777" w:rsidTr="00313338">
        <w:trPr>
          <w:trHeight w:val="340" w:hRule="atLeast"/>
        </w:trPr>
        <w:tc>
          <w:tcPr>
            <w:tcW w:w="907" w:type="dxa"/>
            <w:tcMar>
              <w:top w:w="80" w:type="dxa"/>
              <w:bottom w:w="80" w:type="dxa"/>
              <w:left w:w="120" w:type="dxa"/>
              <w:right w:w="120" w:type="dxa"/>
            </w:tcMar>
          </w:tcPr>
          <w:p w14:paraId="7F90A165"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RF16</w:t>
            </w:r>
          </w:p>
        </w:tc>
        <w:tc>
          <w:tcPr>
            <w:tcW w:w="6500" w:type="dxa"/>
            <w:tcMar>
              <w:top w:w="80" w:type="dxa"/>
              <w:bottom w:w="80" w:type="dxa"/>
              <w:left w:w="120" w:type="dxa"/>
              <w:right w:w="120" w:type="dxa"/>
            </w:tcMar>
          </w:tcPr>
          <w:p w14:paraId="6A8C92DB"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Orquestación y despacho asíncrono de procesos masivos con soporte de idempotencia (Idempotency-Key)</w:t>
            </w:r>
          </w:p>
        </w:tc>
        <w:tc>
          <w:tcPr>
            <w:tcW w:w="1100" w:type="dxa"/>
            <w:tcMar>
              <w:top w:w="80" w:type="dxa"/>
              <w:bottom w:w="80" w:type="dxa"/>
              <w:left w:w="120" w:type="dxa"/>
              <w:right w:w="120" w:type="dxa"/>
            </w:tcMar>
          </w:tcPr>
          <w:p w14:paraId="2DEABC71"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03C31D63" w14:textId="77777777" w:rsidTr="00313338">
        <w:trPr>
          <w:trHeight w:val="340" w:hRule="atLeast"/>
        </w:trPr>
        <w:tc>
          <w:tcPr>
            <w:tcW w:w="907" w:type="dxa"/>
            <w:tcMar>
              <w:top w:w="80" w:type="dxa"/>
              <w:bottom w:w="80" w:type="dxa"/>
              <w:left w:w="120" w:type="dxa"/>
              <w:right w:w="120" w:type="dxa"/>
            </w:tcMar>
          </w:tcPr>
          <w:p w14:paraId="7DFE29A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RF17</w:t>
            </w:r>
          </w:p>
        </w:tc>
        <w:tc>
          <w:tcPr>
            <w:tcW w:w="6500" w:type="dxa"/>
            <w:tcMar>
              <w:top w:w="80" w:type="dxa"/>
              <w:bottom w:w="80" w:type="dxa"/>
              <w:left w:w="120" w:type="dxa"/>
              <w:right w:w="120" w:type="dxa"/>
            </w:tcMar>
          </w:tcPr>
          <w:p w14:paraId="1A91E9A8"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Control de concurrencia mediante semáforos asíncronos y tasa controlada de peticiones inter-request</w:t>
            </w:r>
          </w:p>
        </w:tc>
        <w:tc>
          <w:tcPr>
            <w:tcW w:w="1100" w:type="dxa"/>
            <w:tcMar>
              <w:top w:w="80" w:type="dxa"/>
              <w:bottom w:w="80" w:type="dxa"/>
              <w:left w:w="120" w:type="dxa"/>
              <w:right w:w="120" w:type="dxa"/>
            </w:tcMar>
          </w:tcPr>
          <w:p w14:paraId="6ABD85C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3ED111FB" w14:textId="77777777" w:rsidTr="00313338">
        <w:trPr>
          <w:trHeight w:val="340" w:hRule="atLeast"/>
        </w:trPr>
        <w:tc>
          <w:tcPr>
            <w:tcW w:w="907" w:type="dxa"/>
            <w:tcMar>
              <w:top w:w="80" w:type="dxa"/>
              <w:bottom w:w="80" w:type="dxa"/>
              <w:left w:w="120" w:type="dxa"/>
              <w:right w:w="120" w:type="dxa"/>
            </w:tcMar>
          </w:tcPr>
          <w:p w14:paraId="6F4B0181"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RF18</w:t>
            </w:r>
          </w:p>
        </w:tc>
        <w:tc>
          <w:tcPr>
            <w:tcW w:w="6500" w:type="dxa"/>
            <w:tcMar>
              <w:top w:w="80" w:type="dxa"/>
              <w:bottom w:w="80" w:type="dxa"/>
              <w:left w:w="120" w:type="dxa"/>
              <w:right w:w="120" w:type="dxa"/>
            </w:tcMar>
          </w:tcPr>
          <w:p w14:paraId="2B85A7F4"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Resiliencia técnica y política de reintentos inteligentes ante fallas de red y HTTP 401</w:t>
            </w:r>
          </w:p>
        </w:tc>
        <w:tc>
          <w:tcPr>
            <w:tcW w:w="1100" w:type="dxa"/>
            <w:tcMar>
              <w:top w:w="80" w:type="dxa"/>
              <w:bottom w:w="80" w:type="dxa"/>
              <w:left w:w="120" w:type="dxa"/>
              <w:right w:w="120" w:type="dxa"/>
            </w:tcMar>
          </w:tcPr>
          <w:p w14:paraId="4188F94F"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3372E70E" w14:textId="77777777" w:rsidTr="00313338">
        <w:trPr>
          <w:trHeight w:val="340" w:hRule="atLeast"/>
        </w:trPr>
        <w:tc>
          <w:tcPr>
            <w:tcW w:w="907" w:type="dxa"/>
            <w:tcMar>
              <w:top w:w="80" w:type="dxa"/>
              <w:bottom w:w="80" w:type="dxa"/>
              <w:left w:w="120" w:type="dxa"/>
              <w:right w:w="120" w:type="dxa"/>
            </w:tcMar>
          </w:tcPr>
          <w:p w14:paraId="75ABB28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RF19</w:t>
            </w:r>
          </w:p>
        </w:tc>
        <w:tc>
          <w:tcPr>
            <w:tcW w:w="6500" w:type="dxa"/>
            <w:tcMar>
              <w:top w:w="80" w:type="dxa"/>
              <w:bottom w:w="80" w:type="dxa"/>
              <w:left w:w="120" w:type="dxa"/>
              <w:right w:w="120" w:type="dxa"/>
            </w:tcMar>
          </w:tcPr>
          <w:p w14:paraId="56EDF2C3"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Interpretación y decodificación determinista de respuestas según catálogo oficial (VÁLIDO, NO VÁLIDO, OBSERVADO, ERROR)</w:t>
            </w:r>
          </w:p>
        </w:tc>
        <w:tc>
          <w:tcPr>
            <w:tcW w:w="1100" w:type="dxa"/>
            <w:tcMar>
              <w:top w:w="80" w:type="dxa"/>
              <w:bottom w:w="80" w:type="dxa"/>
              <w:left w:w="120" w:type="dxa"/>
              <w:right w:w="120" w:type="dxa"/>
            </w:tcMar>
          </w:tcPr>
          <w:p w14:paraId="01870261"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72BA9542" w14:textId="77777777" w:rsidTr="00313338">
        <w:trPr>
          <w:trHeight w:val="340" w:hRule="atLeast"/>
        </w:trPr>
        <w:tc>
          <w:tcPr>
            <w:tcW w:w="907" w:type="dxa"/>
            <w:tcMar>
              <w:top w:w="80" w:type="dxa"/>
              <w:bottom w:w="80" w:type="dxa"/>
              <w:left w:w="120" w:type="dxa"/>
              <w:right w:w="120" w:type="dxa"/>
            </w:tcMar>
          </w:tcPr>
          <w:p w14:paraId="5A16D72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RF20</w:t>
            </w:r>
          </w:p>
        </w:tc>
        <w:tc>
          <w:tcPr>
            <w:tcW w:w="6500" w:type="dxa"/>
            <w:tcMar>
              <w:top w:w="80" w:type="dxa"/>
              <w:bottom w:w="80" w:type="dxa"/>
              <w:left w:w="120" w:type="dxa"/>
              <w:right w:w="120" w:type="dxa"/>
            </w:tcMar>
          </w:tcPr>
          <w:p w14:paraId="3949F5E9"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Monitoreo en tiempo real del progreso, porcentaje de avance y contadores dinámicos del proceso masivo</w:t>
            </w:r>
          </w:p>
        </w:tc>
        <w:tc>
          <w:tcPr>
            <w:tcW w:w="1100" w:type="dxa"/>
            <w:tcMar>
              <w:top w:w="80" w:type="dxa"/>
              <w:bottom w:w="80" w:type="dxa"/>
              <w:left w:w="120" w:type="dxa"/>
              <w:right w:w="120" w:type="dxa"/>
            </w:tcMar>
          </w:tcPr>
          <w:p w14:paraId="656BC6E8"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Alta</w:t>
            </w:r>
          </w:p>
        </w:tc>
      </w:tr>
      <w:tr w:rsidR="00E573FC" w14:paraId="7D0AAFE4" w14:textId="77777777" w:rsidTr="00313338">
        <w:trPr>
          <w:trHeight w:val="340" w:hRule="atLeast"/>
        </w:trPr>
        <w:tc>
          <w:tcPr>
            <w:tcW w:w="907" w:type="dxa"/>
            <w:tcMar>
              <w:top w:w="80" w:type="dxa"/>
              <w:bottom w:w="80" w:type="dxa"/>
              <w:left w:w="120" w:type="dxa"/>
              <w:right w:w="120" w:type="dxa"/>
            </w:tcMar>
          </w:tcPr>
          <w:p w14:paraId="7AFD0327"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RF21</w:t>
            </w:r>
          </w:p>
        </w:tc>
        <w:tc>
          <w:tcPr>
            <w:tcW w:w="6500" w:type="dxa"/>
            <w:tcMar>
              <w:top w:w="80" w:type="dxa"/>
              <w:bottom w:w="80" w:type="dxa"/>
              <w:left w:w="120" w:type="dxa"/>
              <w:right w:w="120" w:type="dxa"/>
            </w:tcMar>
          </w:tcPr>
          <w:p w14:paraId="576EEAE0"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Reintento focalizado bajo demanda exclusivo para comprobantes con errores técnicos de comunicación</w:t>
            </w:r>
          </w:p>
        </w:tc>
        <w:tc>
          <w:tcPr>
            <w:tcW w:w="1100" w:type="dxa"/>
            <w:tcMar>
              <w:top w:w="80" w:type="dxa"/>
              <w:bottom w:w="80" w:type="dxa"/>
              <w:left w:w="120" w:type="dxa"/>
              <w:right w:w="120" w:type="dxa"/>
            </w:tcMar>
          </w:tcPr>
          <w:p w14:paraId="55356904"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Media</w:t>
            </w:r>
          </w:p>
        </w:tc>
      </w:tr>
      <w:tr w:rsidR="00E573FC" w14:paraId="46503C0D" w14:textId="77777777" w:rsidTr="00313338">
        <w:trPr>
          <w:trHeight w:val="340" w:hRule="atLeast"/>
        </w:trPr>
        <w:tc>
          <w:tcPr>
            <w:tcW w:w="907" w:type="dxa"/>
            <w:tcMar>
              <w:top w:w="80" w:type="dxa"/>
              <w:bottom w:w="80" w:type="dxa"/>
              <w:left w:w="120" w:type="dxa"/>
              <w:right w:w="120" w:type="dxa"/>
            </w:tcMar>
          </w:tcPr>
          <w:p w14:paraId="1E0ABE2F"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RF22</w:t>
            </w:r>
          </w:p>
        </w:tc>
        <w:tc>
          <w:tcPr>
            <w:tcW w:w="6500" w:type="dxa"/>
            <w:tcMar>
              <w:top w:w="80" w:type="dxa"/>
              <w:bottom w:w="80" w:type="dxa"/>
              <w:left w:w="120" w:type="dxa"/>
              <w:right w:w="120" w:type="dxa"/>
            </w:tcMar>
          </w:tcPr>
          <w:p w14:paraId="1D2ECA66"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Historial permanente de consultas y búsqueda multicriterio con detalle granular de comprobantes</w:t>
            </w:r>
          </w:p>
        </w:tc>
        <w:tc>
          <w:tcPr>
            <w:tcW w:w="1100" w:type="dxa"/>
            <w:tcMar>
              <w:top w:w="80" w:type="dxa"/>
              <w:bottom w:w="80" w:type="dxa"/>
              <w:left w:w="120" w:type="dxa"/>
              <w:right w:w="120" w:type="dxa"/>
            </w:tcMar>
          </w:tcPr>
          <w:p w14:paraId="27175CCF"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Media</w:t>
            </w:r>
          </w:p>
        </w:tc>
      </w:tr>
      <w:tr w:rsidR="00E573FC" w14:paraId="7EAA560F" w14:textId="77777777" w:rsidTr="00313338">
        <w:trPr>
          <w:trHeight w:val="340" w:hRule="atLeast"/>
        </w:trPr>
        <w:tc>
          <w:tcPr>
            <w:tcW w:w="907" w:type="dxa"/>
            <w:tcMar>
              <w:top w:w="80" w:type="dxa"/>
              <w:bottom w:w="80" w:type="dxa"/>
              <w:left w:w="120" w:type="dxa"/>
              <w:right w:w="120" w:type="dxa"/>
            </w:tcMar>
          </w:tcPr>
          <w:p w14:paraId="0F1CAA2C"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RF23</w:t>
            </w:r>
          </w:p>
        </w:tc>
        <w:tc>
          <w:tcPr>
            <w:tcW w:w="6500" w:type="dxa"/>
            <w:tcMar>
              <w:top w:w="80" w:type="dxa"/>
              <w:bottom w:w="80" w:type="dxa"/>
              <w:left w:w="120" w:type="dxa"/>
              <w:right w:w="120" w:type="dxa"/>
            </w:tcMar>
          </w:tcPr>
          <w:p w14:paraId="59B91F97" w14:textId="77777777" w:rsidR="00E573FC" w:rsidRPr="00537218" w:rsidRDefault="00E573FC" w:rsidP="00313338">
            <w:pPr>
              <w:jc w:val="left"/>
              <w:rPr>
                <w:sz w:val="24"/>
                <w:szCs w:val="24"/>
              </w:rPr>
              <w:spacing w:line="350" w:lineRule="atLeast" w:after="0" w:before="0"/>
            </w:pPr>
            <w:r/>
            <w:r>
              <w:rPr>
                <w:rFonts w:ascii="Aptos" w:hAnsi="Aptos"/>
                <w:b w:val="0"/>
                <w:color w:val="000000"/>
                <w:sz w:val="22"/>
              </w:rPr>
              <w:t>Dashboard analítico de resultados y consolidación estadística tributaria en PostgreSQL</w:t>
            </w:r>
          </w:p>
        </w:tc>
        <w:tc>
          <w:tcPr>
            <w:tcW w:w="1100" w:type="dxa"/>
            <w:tcMar>
              <w:top w:w="80" w:type="dxa"/>
              <w:bottom w:w="80" w:type="dxa"/>
              <w:left w:w="120" w:type="dxa"/>
              <w:right w:w="120" w:type="dxa"/>
            </w:tcMar>
          </w:tcPr>
          <w:p w14:paraId="2DFDDA3E" w14:textId="77777777" w:rsidR="00E573FC" w:rsidRPr="00537218" w:rsidRDefault="00E573FC" w:rsidP="00313338">
            <w:pPr>
              <w:jc w:val="center"/>
              <w:rPr>
                <w:sz w:val="24"/>
                <w:szCs w:val="24"/>
              </w:rPr>
              <w:spacing w:line="350" w:lineRule="atLeast" w:after="0" w:before="0"/>
            </w:pPr>
            <w:r/>
            <w:r>
              <w:rPr>
                <w:rFonts w:ascii="Aptos" w:hAnsi="Aptos"/>
                <w:b w:val="0"/>
                <w:color w:val="000000"/>
                <w:sz w:val="22"/>
              </w:rPr>
              <w:t>Media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RF24</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Exportación de reportes oficiales de conciliación en Excel (.xlsx) con protección contra inyección de fórmulas</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Media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RF25</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Auditoría inmutable de operaciones y sanitización automática de credenciales y datos sensibles</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Alta</w:t>
            </w:r>
          </w:p>
        </w:tc>
      </w:tr>
    </w:tbl>
    <w:p w14:paraId="67B47FF9" w14:textId="77777777" w:rsidR="00E573FC" w:rsidRDefault="00E573FC" w:rsidP="00E573FC">
      <w:pPr>
        <w:pStyle w:val="ds-markdown-paragraph"/>
        <w:shd w:val="clear" w:color="auto" w:fill="FFFFFF"/>
        <w:spacing w:before="240" w:beforeAutospacing="0" w:after="240" w:afterAutospacing="0"/>
        <w:rPr>
          <w:rStyle w:val="Fuerte"/>
          <w:color w:val="000000" w:themeColor="text1"/>
        </w:rPr>
      </w:pPr>
    </w:p>
    <w:p w14:paraId="129E5D7C" w14:textId="77777777" w:rsidR="00E573FC" w:rsidRPr="00E50D70" w:rsidRDefault="00E573FC" w:rsidP="00E573FC">
      <w:pPr>
        <w:pStyle w:val="ds-markdown-paragraph"/>
        <w:shd w:val="clear" w:color="auto" w:fill="FFFFFF"/>
        <w:spacing w:before="240" w:beforeAutospacing="0" w:after="240" w:afterAutospacing="0"/>
        <w:rPr>
          <w:color w:val="000000" w:themeColor="text1"/>
        </w:rPr>
      </w:pPr>
      <w:r w:rsidRPr="00E50D70">
        <w:rPr>
          <w:rStyle w:val="Fuerte"/>
          <w:color w:val="000000" w:themeColor="text1"/>
        </w:rPr>
        <w:t>Requisitos no funcionales:</w:t>
      </w:r>
    </w:p>
    <w:p w14:paraId="60751258" w14:textId="77777777" w:rsidR="00E573FC" w:rsidRDefault="00E573FC" w:rsidP="00E573FC">
      <w:pPr>
        <w:pStyle w:val="Descripcin"/>
        <w:keepNext/>
      </w:pPr>
      <w:bookmarkStart w:id="2" w:name="_Toc241270027"/>
      <w:r>
        <w:t xml:space="preserve">Tabla </w:t>
      </w:r>
      <w:r>
        <w:fldChar w:fldCharType="begin"/>
      </w:r>
      <w:r>
        <w:instrText xml:space="preserve"> SEQ Tabla \* ARABIC </w:instrText>
      </w:r>
      <w:r>
        <w:fldChar w:fldCharType="separate"/>
      </w:r>
      <w:r>
        <w:rPr>
          <w:noProof/>
        </w:rPr>
        <w:t>3</w:t>
      </w:r>
      <w:r>
        <w:fldChar w:fldCharType="end"/>
      </w:r>
      <w:r>
        <w:t>:Requisitos No funcionales</w:t>
      </w:r>
      <w:bookmarkEnd w:id="2"/>
    </w:p>
    <w:tbl>
      <w:tblPr>
        <w:tblStyle w:val="Tablaconcuadrcula"/>
        <w:tblW w:w="9176" w:type="dxa"/>
        <w:tblLook w:val="04A0" w:firstRow="1" w:lastRow="0" w:firstColumn="1" w:lastColumn="0" w:noHBand="0" w:noVBand="1"/>
      </w:tblPr>
      <w:tblGrid>
        <w:gridCol w:w="803"/>
        <w:gridCol w:w="7157"/>
        <w:gridCol w:w="1216"/>
      </w:tblGrid>
      <w:tr w:rsidR="00E573FC" w:rsidRPr="00E50D70" w14:paraId="469DC83B" w14:textId="77777777" w:rsidTr="00313338">
        <w:trPr>
          <w:trHeight w:val="371" w:hRule="atLeast"/>
        </w:trPr>
        <w:tc>
          <w:tcPr>
            <w:hideMark/>
            <w:tcW w:w="907" w:type="dxa"/>
            <w:tcMar>
              <w:top w:w="80" w:type="dxa"/>
              <w:bottom w:w="80" w:type="dxa"/>
              <w:left w:w="120" w:type="dxa"/>
              <w:right w:w="120" w:type="dxa"/>
            </w:tcMar>
          </w:tcPr>
          <w:p w14:paraId="064DB1EF" w14:textId="77777777" w:rsidR="00E573FC" w:rsidRPr="00537218" w:rsidRDefault="00E573FC" w:rsidP="00313338">
            <w:pPr>
              <w:jc w:val="left"/>
              <w:rPr>
                <w:sz w:val="24"/>
                <w:szCs w:val="24"/>
              </w:rPr>
              <w:spacing w:line="375" w:lineRule="atLeast" w:after="0" w:before="0"/>
            </w:pPr>
            <w:r/>
            <w:r>
              <w:rPr>
                <w:rFonts w:ascii="Aptos" w:hAnsi="Aptos"/>
                <w:b/>
                <w:color w:val="000000"/>
                <w:sz w:val="24"/>
              </w:rPr>
              <w:t>N°</w:t>
            </w:r>
          </w:p>
        </w:tc>
        <w:tc>
          <w:tcPr>
            <w:hideMark/>
            <w:tcW w:w="6500" w:type="dxa"/>
            <w:tcMar>
              <w:top w:w="80" w:type="dxa"/>
              <w:bottom w:w="80" w:type="dxa"/>
              <w:left w:w="120" w:type="dxa"/>
              <w:right w:w="120" w:type="dxa"/>
            </w:tcMar>
          </w:tcPr>
          <w:p w14:paraId="6DAFC9E1" w14:textId="77777777" w:rsidR="00E573FC" w:rsidRPr="00537218" w:rsidRDefault="00E573FC" w:rsidP="00313338">
            <w:pPr>
              <w:jc w:val="left"/>
              <w:rPr>
                <w:sz w:val="24"/>
                <w:szCs w:val="24"/>
              </w:rPr>
              <w:spacing w:line="375" w:lineRule="atLeast" w:after="0" w:before="0"/>
            </w:pPr>
            <w:r/>
            <w:r>
              <w:rPr>
                <w:rFonts w:ascii="Aptos" w:hAnsi="Aptos"/>
                <w:b/>
                <w:color w:val="000000"/>
                <w:sz w:val="24"/>
              </w:rPr>
              <w:t>Requerimiento</w:t>
            </w:r>
          </w:p>
        </w:tc>
        <w:tc>
          <w:tcPr>
            <w:hideMark/>
            <w:tcW w:w="1100" w:type="dxa"/>
            <w:tcMar>
              <w:top w:w="80" w:type="dxa"/>
              <w:bottom w:w="80" w:type="dxa"/>
              <w:left w:w="120" w:type="dxa"/>
              <w:right w:w="120" w:type="dxa"/>
            </w:tcMar>
          </w:tcPr>
          <w:p w14:paraId="0BE0B574" w14:textId="77777777" w:rsidR="00E573FC" w:rsidRPr="00537218" w:rsidRDefault="00E573FC" w:rsidP="00313338">
            <w:pPr>
              <w:jc w:val="left"/>
              <w:rPr>
                <w:sz w:val="24"/>
                <w:szCs w:val="24"/>
              </w:rPr>
              <w:spacing w:line="375" w:lineRule="atLeast" w:after="0" w:before="0"/>
            </w:pPr>
            <w:r/>
            <w:r>
              <w:rPr>
                <w:rFonts w:ascii="Aptos" w:hAnsi="Aptos"/>
                <w:b/>
                <w:color w:val="000000"/>
                <w:sz w:val="24"/>
              </w:rPr>
              <w:t>Prioridad</w:t>
            </w:r>
          </w:p>
        </w:tc>
      </w:tr>
      <w:tr w:rsidR="00E573FC" w:rsidRPr="00E50D70" w14:paraId="42A890D8" w14:textId="77777777" w:rsidTr="00313338">
        <w:trPr>
          <w:trHeight w:val="340" w:hRule="atLeast"/>
        </w:trPr>
        <w:tc>
          <w:tcPr>
            <w:hideMark/>
            <w:tcW w:w="907" w:type="dxa"/>
            <w:tcMar>
              <w:top w:w="80" w:type="dxa"/>
              <w:bottom w:w="80" w:type="dxa"/>
              <w:left w:w="120" w:type="dxa"/>
              <w:right w:w="120" w:type="dxa"/>
            </w:tcMar>
          </w:tcPr>
          <w:p w14:paraId="2E1755E7"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RNF1</w:t>
            </w:r>
          </w:p>
        </w:tc>
        <w:tc>
          <w:tcPr>
            <w:hideMark/>
            <w:tcW w:w="6500" w:type="dxa"/>
            <w:tcMar>
              <w:top w:w="80" w:type="dxa"/>
              <w:bottom w:w="80" w:type="dxa"/>
              <w:left w:w="120" w:type="dxa"/>
              <w:right w:w="120" w:type="dxa"/>
            </w:tcMar>
          </w:tcPr>
          <w:p w14:paraId="504749EC" w14:textId="77777777" w:rsidR="00E573FC" w:rsidRPr="00537218" w:rsidRDefault="00E573FC" w:rsidP="00313338">
            <w:pPr>
              <w:jc w:val="left"/>
              <w:rPr>
                <w:color w:val="000000" w:themeColor="text1"/>
                <w:sz w:val="24"/>
                <w:szCs w:val="24"/>
              </w:rPr>
              <w:spacing w:line="350" w:lineRule="atLeast" w:after="0" w:before="0"/>
            </w:pPr>
            <w:r/>
            <w:r>
              <w:rPr>
                <w:rFonts w:ascii="Aptos" w:hAnsi="Aptos"/>
                <w:b w:val="0"/>
                <w:color w:val="000000"/>
                <w:sz w:val="22"/>
              </w:rPr>
              <w:t>Concurrencia y procesamiento asíncrono no bloqueante: Ejecución en segundo plano desacoplada de la base de datos mediante asyncio.</w:t>
            </w:r>
          </w:p>
        </w:tc>
        <w:tc>
          <w:tcPr>
            <w:hideMark/>
            <w:tcW w:w="1100" w:type="dxa"/>
            <w:tcMar>
              <w:top w:w="80" w:type="dxa"/>
              <w:bottom w:w="80" w:type="dxa"/>
              <w:left w:w="120" w:type="dxa"/>
              <w:right w:w="120" w:type="dxa"/>
            </w:tcMar>
          </w:tcPr>
          <w:p w14:paraId="59EBB5C1"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Alta</w:t>
            </w:r>
          </w:p>
        </w:tc>
      </w:tr>
      <w:tr w:rsidR="00E573FC" w:rsidRPr="00E50D70" w14:paraId="7DA5B49B" w14:textId="77777777" w:rsidTr="00313338">
        <w:trPr>
          <w:trHeight w:val="340" w:hRule="atLeast"/>
        </w:trPr>
        <w:tc>
          <w:tcPr>
            <w:hideMark/>
            <w:tcW w:w="907" w:type="dxa"/>
            <w:tcMar>
              <w:top w:w="80" w:type="dxa"/>
              <w:bottom w:w="80" w:type="dxa"/>
              <w:left w:w="120" w:type="dxa"/>
              <w:right w:w="120" w:type="dxa"/>
            </w:tcMar>
          </w:tcPr>
          <w:p w14:paraId="57C97F3E"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RNF2</w:t>
            </w:r>
          </w:p>
        </w:tc>
        <w:tc>
          <w:tcPr>
            <w:hideMark/>
            <w:tcW w:w="6500" w:type="dxa"/>
            <w:tcMar>
              <w:top w:w="80" w:type="dxa"/>
              <w:bottom w:w="80" w:type="dxa"/>
              <w:left w:w="120" w:type="dxa"/>
              <w:right w:w="120" w:type="dxa"/>
            </w:tcMar>
          </w:tcPr>
          <w:p w14:paraId="68234004" w14:textId="77777777" w:rsidR="00E573FC" w:rsidRPr="00537218" w:rsidRDefault="00E573FC" w:rsidP="00313338">
            <w:pPr>
              <w:jc w:val="left"/>
              <w:rPr>
                <w:color w:val="000000" w:themeColor="text1"/>
                <w:sz w:val="24"/>
                <w:szCs w:val="24"/>
              </w:rPr>
              <w:spacing w:line="350" w:lineRule="atLeast" w:after="0" w:before="0"/>
            </w:pPr>
            <w:r/>
            <w:r>
              <w:rPr>
                <w:rFonts w:ascii="Aptos" w:hAnsi="Aptos"/>
                <w:b w:val="0"/>
                <w:color w:val="000000"/>
                <w:sz w:val="22"/>
              </w:rPr>
              <w:t>Seguridad perimetral y custodia de credenciales: Aislamiento multitenancy estricto, protección OAuth2 y sanitización de secretos.</w:t>
            </w:r>
          </w:p>
        </w:tc>
        <w:tc>
          <w:tcPr>
            <w:hideMark/>
            <w:tcW w:w="1100" w:type="dxa"/>
            <w:tcMar>
              <w:top w:w="80" w:type="dxa"/>
              <w:bottom w:w="80" w:type="dxa"/>
              <w:left w:w="120" w:type="dxa"/>
              <w:right w:w="120" w:type="dxa"/>
            </w:tcMar>
          </w:tcPr>
          <w:p w14:paraId="2B5BD922"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Alta</w:t>
            </w:r>
          </w:p>
        </w:tc>
      </w:tr>
      <w:tr w:rsidR="00E573FC" w:rsidRPr="00E50D70" w14:paraId="6F2CD4F8" w14:textId="77777777" w:rsidTr="00313338">
        <w:trPr>
          <w:trHeight w:val="340" w:hRule="atLeast"/>
        </w:trPr>
        <w:tc>
          <w:tcPr>
            <w:hideMark/>
            <w:tcW w:w="907" w:type="dxa"/>
            <w:tcMar>
              <w:top w:w="80" w:type="dxa"/>
              <w:bottom w:w="80" w:type="dxa"/>
              <w:left w:w="120" w:type="dxa"/>
              <w:right w:w="120" w:type="dxa"/>
            </w:tcMar>
          </w:tcPr>
          <w:p w14:paraId="590E948B"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RNF3</w:t>
            </w:r>
          </w:p>
        </w:tc>
        <w:tc>
          <w:tcPr>
            <w:hideMark/>
            <w:tcW w:w="6500" w:type="dxa"/>
            <w:tcMar>
              <w:top w:w="80" w:type="dxa"/>
              <w:bottom w:w="80" w:type="dxa"/>
              <w:left w:w="120" w:type="dxa"/>
              <w:right w:w="120" w:type="dxa"/>
            </w:tcMar>
          </w:tcPr>
          <w:p w14:paraId="1F658A9D" w14:textId="77777777" w:rsidR="00E573FC" w:rsidRPr="00537218" w:rsidRDefault="00E573FC" w:rsidP="00313338">
            <w:pPr>
              <w:jc w:val="left"/>
              <w:rPr>
                <w:color w:val="000000" w:themeColor="text1"/>
                <w:sz w:val="24"/>
                <w:szCs w:val="24"/>
              </w:rPr>
              <w:spacing w:line="350" w:lineRule="atLeast" w:after="0" w:before="0"/>
            </w:pPr>
            <w:r/>
            <w:r>
              <w:rPr>
                <w:rFonts w:ascii="Aptos" w:hAnsi="Aptos"/>
                <w:b w:val="0"/>
                <w:color w:val="000000"/>
                <w:sz w:val="22"/>
              </w:rPr>
              <w:t>Resiliencia y tolerancia a fallos transitorios: Manejo de timeouts, excepciones de red y reautenticación automática ante token expirado.</w:t>
            </w:r>
          </w:p>
        </w:tc>
        <w:tc>
          <w:tcPr>
            <w:hideMark/>
            <w:tcW w:w="1100" w:type="dxa"/>
            <w:tcMar>
              <w:top w:w="80" w:type="dxa"/>
              <w:bottom w:w="80" w:type="dxa"/>
              <w:left w:w="120" w:type="dxa"/>
              <w:right w:w="120" w:type="dxa"/>
            </w:tcMar>
          </w:tcPr>
          <w:p w14:paraId="15837504" w14:textId="77777777" w:rsidR="00E573FC" w:rsidRPr="00537218" w:rsidRDefault="00E573FC" w:rsidP="00313338">
            <w:pPr>
              <w:jc w:val="center"/>
              <w:rPr>
                <w:color w:val="000000" w:themeColor="text1"/>
                <w:sz w:val="24"/>
                <w:szCs w:val="24"/>
              </w:rPr>
              <w:spacing w:line="350" w:lineRule="atLeast" w:after="0" w:before="0"/>
            </w:pPr>
            <w:r/>
            <w:r>
              <w:rPr>
                <w:rFonts w:ascii="Aptos" w:hAnsi="Aptos"/>
                <w:b w:val="0"/>
                <w:color w:val="000000"/>
                <w:sz w:val="22"/>
              </w:rPr>
              <w:t>Alta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RNF4</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Integridad transaccional e idempotencia: Prevención de duplicidad de procesos masivos mediante claves únicas y consistencia en PostgreSQL.</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Alta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RNF5</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Usabilidad y monitoreo reactivo: Barras de progreso en tiempo real, codificación de colores de estado fiscal y polling dinámico.</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Media</w:t>
            </w:r>
          </w:p>
        </w:tc>
      </w:tr>
      <w:tr>
        <w:trPr>
          <w:trHeight w:val="340" w:hRule="atLeast"/>
        </w:trPr>
        <w:tc>
          <w:tcPr>
            <w:tcW w:w="907"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RNF6</w:t>
            </w:r>
          </w:p>
        </w:tc>
        <w:tc>
          <w:tcPr>
            <w:tcW w:w="6500" w:type="dxa"/>
            <w:tcMar>
              <w:top w:w="80" w:type="dxa"/>
              <w:bottom w:w="80" w:type="dxa"/>
              <w:left w:w="120" w:type="dxa"/>
              <w:right w:w="120" w:type="dxa"/>
            </w:tcMar>
          </w:tcPr>
          <w:p>
            <w:pPr>
              <w:jc w:val="left"/>
              <w:spacing w:line="350" w:lineRule="atLeast" w:after="0" w:before="0"/>
            </w:pPr>
            <w:r/>
            <w:r>
              <w:rPr>
                <w:rFonts w:ascii="Aptos" w:hAnsi="Aptos"/>
                <w:b w:val="0"/>
                <w:color w:val="000000"/>
                <w:sz w:val="22"/>
              </w:rPr>
              <w:t>Trazabilidad inmutable y seguridad en reportes: Bitácora de auditoría detallada y blindaje contra inyección de fórmulas en Excel.</w:t>
            </w:r>
          </w:p>
        </w:tc>
        <w:tc>
          <w:tcPr>
            <w:tcW w:w="1100" w:type="dxa"/>
            <w:tcMar>
              <w:top w:w="80" w:type="dxa"/>
              <w:bottom w:w="80" w:type="dxa"/>
              <w:left w:w="120" w:type="dxa"/>
              <w:right w:w="120" w:type="dxa"/>
            </w:tcMar>
          </w:tcPr>
          <w:p>
            <w:pPr>
              <w:jc w:val="center"/>
              <w:spacing w:line="350" w:lineRule="atLeast" w:after="0" w:before="0"/>
            </w:pPr>
            <w:r/>
            <w:r>
              <w:rPr>
                <w:rFonts w:ascii="Aptos" w:hAnsi="Aptos"/>
                <w:b w:val="0"/>
                <w:color w:val="000000"/>
                <w:sz w:val="22"/>
              </w:rPr>
              <w:t>Media</w:t>
            </w:r>
          </w:p>
        </w:tc>
      </w:tr>
    </w:tbl>
    <w:p w14:paraId="00FD8ACA" w14:textId="77777777" w:rsidR="00E573FC" w:rsidRPr="00463062" w:rsidRDefault="00E573FC" w:rsidP="00E573FC">
      <w:pPr>
        <w:pStyle w:val="Ttulo2"/>
        <w:spacing w:before="240" w:after="120" w:line="360" w:lineRule="auto"/>
        <w:jc w:val="both"/>
        <w:rPr>
          <w:rFonts w:ascii="Times New Roman" w:hAnsi="Times New Roman" w:cs="Times New Roman"/>
          <w:b/>
          <w:bCs/>
          <w:color w:val="000000" w:themeColor="text1"/>
          <w:sz w:val="24"/>
          <w:szCs w:val="24"/>
        </w:rPr>
      </w:pPr>
      <w:bookmarkStart w:id="5" w:name="_Toc241270077"/>
      <w:bookmarkStart w:id="6" w:name="_Hlk241096828"/>
      <w:r w:rsidRPr="00E50D70">
        <w:rPr>
          <w:rFonts w:ascii="Times New Roman" w:hAnsi="Times New Roman" w:cs="Times New Roman"/>
          <w:b/>
          <w:bCs/>
          <w:color w:val="000000" w:themeColor="text1"/>
          <w:sz w:val="24"/>
          <w:szCs w:val="24"/>
        </w:rPr>
        <w:t>Probar</w:t>
      </w:r>
      <w:bookmarkEnd w:id="5"/>
    </w:p>
    <w:p w14:paraId="19C21611" w14:textId="77777777" w:rsidR="00E573FC" w:rsidRDefault="00E573FC" w:rsidP="00E573FC">
      <w:pPr>
        <w:pStyle w:val="Descripcin"/>
        <w:keepNext/>
      </w:pPr>
      <w:bookmarkStart w:id="7" w:name="_Toc241270029"/>
      <w:r>
        <w:t xml:space="preserve">Tabla </w:t>
      </w:r>
      <w:r>
        <w:fldChar w:fldCharType="begin"/>
      </w:r>
      <w:r>
        <w:instrText xml:space="preserve"> SEQ Tabla \* ARABIC </w:instrText>
      </w:r>
      <w:r>
        <w:fldChar w:fldCharType="separate"/>
      </w:r>
      <w:r>
        <w:rPr>
          <w:noProof/>
        </w:rPr>
        <w:t>5</w:t>
      </w:r>
      <w:r>
        <w:fldChar w:fldCharType="end"/>
      </w:r>
      <w:r>
        <w:t xml:space="preserve">: </w:t>
      </w:r>
      <w:r w:rsidRPr="00DF6A34">
        <w:t xml:space="preserve"> Acta de constitución de las prácticas </w:t>
      </w:r>
      <w:proofErr w:type="gramStart"/>
      <w:r w:rsidRPr="00DF6A34">
        <w:t>pre profesionales</w:t>
      </w:r>
      <w:bookmarkEnd w:id="7"/>
      <w:proofErr w:type="gramEnd"/>
    </w:p>
    <w:tbl>
      <w:tblPr>
        <w:tblStyle w:val="Tablaconcuadrcula"/>
        <w:tblW w:w="9522" w:type="dxa"/>
        <w:tblLook w:val="04A0" w:firstRow="1" w:lastRow="0" w:firstColumn="1" w:lastColumn="0" w:noHBand="0" w:noVBand="1"/>
      </w:tblPr>
      <w:tblGrid>
        <w:gridCol w:w="4517"/>
        <w:gridCol w:w="5005"/>
      </w:tblGrid>
      <w:tr w:rsidR="00E573FC" w:rsidRPr="00E50D70" w14:paraId="37F99ACE" w14:textId="77777777" w:rsidTr="00313338">
        <w:trPr>
          <w:trHeight w:val="423"/>
        </w:trPr>
        <w:tc>
          <w:tcPr>
            <w:tcW w:w="4517" w:type="dxa"/>
            <w:hideMark/>
          </w:tcPr>
          <w:p w14:paraId="45D54F5F"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CAMPO</w:t>
            </w:r>
          </w:p>
        </w:tc>
        <w:tc>
          <w:tcPr>
            <w:tcW w:w="5005" w:type="dxa"/>
            <w:hideMark/>
          </w:tcPr>
          <w:p w14:paraId="2352BBC1"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CONTENIDO</w:t>
            </w:r>
          </w:p>
        </w:tc>
      </w:tr>
      <w:tr w:rsidR="00E573FC" w:rsidRPr="00E50D70" w14:paraId="197F0D9A" w14:textId="77777777" w:rsidTr="00313338">
        <w:trPr>
          <w:trHeight w:val="829"/>
        </w:trPr>
        <w:tc>
          <w:tcPr>
            <w:tcW w:w="4517" w:type="dxa"/>
            <w:hideMark/>
          </w:tcPr>
          <w:p w14:paraId="7DB49372"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Nombre del proyecto</w:t>
            </w:r>
          </w:p>
        </w:tc>
        <w:tc>
          <w:tcPr>
            <w:tcW w:w="5005" w:type="dxa"/>
            <w:hideMark/>
          </w:tcPr>
          <w:p w14:paraId="1389689D" w14:textId="77777777" w:rsidR="00E573FC" w:rsidRPr="00537218" w:rsidRDefault="00E573FC" w:rsidP="00313338">
            <w:pPr>
              <w:jc w:val="left"/>
              <w:rPr>
                <w:color w:val="000000" w:themeColor="text1"/>
                <w:sz w:val="22"/>
                <w:szCs w:val="22"/>
                <w:lang w:eastAsia="es-ES"/>
              </w:rPr>
              <w:spacing w:line="360" w:lineRule="atLeast" w:after="0" w:before="0"/>
            </w:pPr>
            <w:r/>
            <w:r>
              <w:rPr>
                <w:rFonts w:ascii="Aptos" w:hAnsi="Aptos"/>
                <w:b w:val="0"/>
                <w:color w:val="000000"/>
                <w:sz w:val="22"/>
              </w:rPr>
              <w:t>Sistema Web para la Gestión y Validación Automatizada de Comprobantes de Pago Electrónicos mediante SUNAT para DAIRA S.A.C.</w:t>
            </w:r>
          </w:p>
        </w:tc>
      </w:tr>
      <w:tr w:rsidR="00E573FC" w:rsidRPr="00537218" w14:paraId="2DB5FE2B" w14:textId="77777777" w:rsidTr="00313338">
        <w:trPr>
          <w:trHeight w:val="846"/>
        </w:trPr>
        <w:tc>
          <w:tcPr>
            <w:tcW w:w="4517" w:type="dxa"/>
            <w:hideMark/>
          </w:tcPr>
          <w:p w14:paraId="3A399A1F"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lastRenderedPageBreak/>
              <w:t>Razón social de la empresa</w:t>
            </w:r>
          </w:p>
        </w:tc>
        <w:tc>
          <w:tcPr>
            <w:tcW w:w="5005" w:type="dxa"/>
            <w:hideMark/>
          </w:tcPr>
          <w:p w14:paraId="4EDA748C" w14:textId="77777777" w:rsidR="00E573FC" w:rsidRPr="00537218" w:rsidRDefault="00E573FC" w:rsidP="00313338">
            <w:pPr>
              <w:spacing w:line="375" w:lineRule="atLeast"/>
              <w:rPr>
                <w:color w:val="000000" w:themeColor="text1"/>
                <w:sz w:val="22"/>
                <w:szCs w:val="22"/>
                <w:lang w:val="en-US" w:eastAsia="es-ES"/>
              </w:rPr>
            </w:pPr>
            <w:r w:rsidRPr="00537218">
              <w:rPr>
                <w:sz w:val="22"/>
                <w:szCs w:val="22"/>
              </w:rPr>
              <w:t>DAIRA S.A.C</w:t>
            </w:r>
          </w:p>
        </w:tc>
      </w:tr>
      <w:tr w:rsidR="00E573FC" w:rsidRPr="00E50D70" w14:paraId="3552CDE6" w14:textId="77777777" w:rsidTr="00313338">
        <w:trPr>
          <w:trHeight w:val="423"/>
        </w:trPr>
        <w:tc>
          <w:tcPr>
            <w:tcW w:w="4517" w:type="dxa"/>
            <w:hideMark/>
          </w:tcPr>
          <w:p w14:paraId="39E49342"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RUC de la empresa</w:t>
            </w:r>
          </w:p>
        </w:tc>
        <w:tc>
          <w:tcPr>
            <w:tcW w:w="5005" w:type="dxa"/>
            <w:hideMark/>
          </w:tcPr>
          <w:p w14:paraId="10F22A70" w14:textId="77777777" w:rsidR="00E573FC" w:rsidRPr="00537218" w:rsidRDefault="00E573FC" w:rsidP="00313338">
            <w:pPr>
              <w:spacing w:line="375" w:lineRule="atLeast"/>
              <w:rPr>
                <w:color w:val="000000" w:themeColor="text1"/>
                <w:sz w:val="22"/>
                <w:szCs w:val="22"/>
                <w:lang w:eastAsia="es-ES"/>
              </w:rPr>
            </w:pPr>
            <w:r w:rsidRPr="00537218">
              <w:rPr>
                <w:sz w:val="22"/>
                <w:szCs w:val="22"/>
              </w:rPr>
              <w:t>20538976815</w:t>
            </w:r>
          </w:p>
        </w:tc>
      </w:tr>
      <w:tr w:rsidR="00E573FC" w:rsidRPr="00E50D70" w14:paraId="6E938D00" w14:textId="77777777" w:rsidTr="00313338">
        <w:trPr>
          <w:trHeight w:val="1253"/>
        </w:trPr>
        <w:tc>
          <w:tcPr>
            <w:tcW w:w="4517" w:type="dxa"/>
            <w:hideMark/>
          </w:tcPr>
          <w:p w14:paraId="44B1C7C5"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Área donde desarrollará las prácticas</w:t>
            </w:r>
          </w:p>
        </w:tc>
        <w:tc>
          <w:tcPr>
            <w:tcW w:w="5005" w:type="dxa"/>
            <w:hideMark/>
          </w:tcPr>
          <w:p w14:paraId="7349BAE3" w14:textId="77777777" w:rsidR="00E573FC" w:rsidRPr="00537218" w:rsidRDefault="00E573FC" w:rsidP="00313338">
            <w:pPr>
              <w:spacing w:line="375" w:lineRule="atLeast"/>
              <w:rPr>
                <w:color w:val="000000" w:themeColor="text1"/>
                <w:sz w:val="22"/>
                <w:szCs w:val="22"/>
                <w:lang w:eastAsia="es-ES"/>
              </w:rPr>
            </w:pPr>
            <w:r w:rsidRPr="00537218">
              <w:rPr>
                <w:sz w:val="22"/>
                <w:szCs w:val="22"/>
              </w:rPr>
              <w:t>Área de Desarrollo de Software</w:t>
            </w:r>
          </w:p>
        </w:tc>
      </w:tr>
      <w:tr w:rsidR="00E573FC" w:rsidRPr="00E50D70" w14:paraId="32D10E70" w14:textId="77777777" w:rsidTr="00313338">
        <w:trPr>
          <w:trHeight w:val="846"/>
        </w:trPr>
        <w:tc>
          <w:tcPr>
            <w:tcW w:w="4517" w:type="dxa"/>
            <w:hideMark/>
          </w:tcPr>
          <w:p w14:paraId="2D9520A1"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Nombre del estudiante</w:t>
            </w:r>
          </w:p>
        </w:tc>
        <w:tc>
          <w:tcPr>
            <w:tcW w:w="5005" w:type="dxa"/>
            <w:hideMark/>
          </w:tcPr>
          <w:p w14:paraId="4D117C0E" w14:textId="77777777" w:rsidR="00E573FC" w:rsidRPr="00537218" w:rsidRDefault="00E573FC" w:rsidP="00313338">
            <w:pPr>
              <w:jc w:val="left"/>
              <w:rPr>
                <w:color w:val="000000" w:themeColor="text1"/>
                <w:sz w:val="22"/>
                <w:szCs w:val="22"/>
                <w:lang w:eastAsia="es-ES"/>
              </w:rPr>
              <w:spacing w:line="360" w:lineRule="atLeast" w:after="0" w:before="0"/>
            </w:pPr>
            <w:r/>
            <w:r>
              <w:rPr>
                <w:rFonts w:ascii="Aptos" w:hAnsi="Aptos"/>
                <w:b w:val="0"/>
                <w:color w:val="000000"/>
                <w:sz w:val="22"/>
              </w:rPr>
              <w:t>Delgado Bustamante Henry Jhulino</w:t>
            </w:r>
          </w:p>
        </w:tc>
      </w:tr>
      <w:tr w:rsidR="00E573FC" w:rsidRPr="00E50D70" w14:paraId="7F773833" w14:textId="77777777" w:rsidTr="00313338">
        <w:trPr>
          <w:trHeight w:val="1270"/>
        </w:trPr>
        <w:tc>
          <w:tcPr>
            <w:tcW w:w="4517" w:type="dxa"/>
            <w:hideMark/>
          </w:tcPr>
          <w:p w14:paraId="1923A100"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Nombre del supervisor en la empresa</w:t>
            </w:r>
          </w:p>
        </w:tc>
        <w:tc>
          <w:tcPr>
            <w:tcW w:w="5005" w:type="dxa"/>
            <w:hideMark/>
          </w:tcPr>
          <w:p w14:paraId="06E44D54" w14:textId="77777777" w:rsidR="00E573FC" w:rsidRPr="00537218" w:rsidRDefault="00E573FC" w:rsidP="00313338">
            <w:pPr>
              <w:spacing w:line="375" w:lineRule="atLeast"/>
              <w:rPr>
                <w:color w:val="000000" w:themeColor="text1"/>
                <w:sz w:val="22"/>
                <w:szCs w:val="22"/>
                <w:lang w:eastAsia="es-ES"/>
              </w:rPr>
            </w:pPr>
            <w:r w:rsidRPr="00537218">
              <w:rPr>
                <w:sz w:val="22"/>
                <w:szCs w:val="22"/>
              </w:rPr>
              <w:t>ING. Jeisser Julán Irigoin</w:t>
            </w:r>
          </w:p>
        </w:tc>
      </w:tr>
      <w:tr w:rsidR="00E573FC" w:rsidRPr="00E50D70" w14:paraId="444A9D1B" w14:textId="77777777" w:rsidTr="00313338">
        <w:trPr>
          <w:trHeight w:val="2100"/>
        </w:trPr>
        <w:tc>
          <w:tcPr>
            <w:tcW w:w="4517" w:type="dxa"/>
            <w:hideMark/>
          </w:tcPr>
          <w:p w14:paraId="1BB3EE92" w14:textId="77777777" w:rsidR="00E573FC" w:rsidRPr="008375BC" w:rsidRDefault="00E573FC" w:rsidP="00313338">
            <w:pPr>
              <w:spacing w:line="375" w:lineRule="atLeast"/>
              <w:rPr>
                <w:b/>
                <w:bCs/>
                <w:color w:val="000000" w:themeColor="text1"/>
                <w:sz w:val="24"/>
                <w:szCs w:val="24"/>
                <w:lang w:eastAsia="es-ES"/>
              </w:rPr>
            </w:pPr>
            <w:r w:rsidRPr="008375BC">
              <w:rPr>
                <w:b/>
                <w:bCs/>
                <w:color w:val="000000" w:themeColor="text1"/>
                <w:sz w:val="24"/>
                <w:szCs w:val="24"/>
                <w:lang w:eastAsia="es-ES"/>
              </w:rPr>
              <w:t>Descripción del alcance del proyecto</w:t>
            </w:r>
          </w:p>
        </w:tc>
        <w:tc>
          <w:tcPr>
            <w:tcW w:w="5005" w:type="dxa"/>
            <w:hideMark/>
          </w:tcPr>
          <w:p w14:paraId="60D41C32" w14:textId="77777777" w:rsidR="00E573FC" w:rsidRPr="00537218" w:rsidRDefault="00E573FC" w:rsidP="00313338">
            <w:pPr>
              <w:jc w:val="left"/>
              <w:rPr>
                <w:color w:val="000000" w:themeColor="text1"/>
                <w:sz w:val="22"/>
                <w:szCs w:val="22"/>
                <w:lang w:eastAsia="es-ES"/>
              </w:rPr>
              <w:spacing w:line="360" w:lineRule="atLeast" w:after="0" w:before="0"/>
            </w:pPr>
            <w:r/>
            <w:r>
              <w:rPr>
                <w:rFonts w:ascii="Aptos" w:hAnsi="Aptos"/>
                <w:b w:val="0"/>
                <w:color w:val="000000"/>
                <w:sz w:val="22"/>
              </w:rPr>
              <w:t>Desarrollo e implementación del subsistema web de integración oficial, validación tributaria y analítica de resultados ante la Superintendencia Nacional de Aduanas y de Administración Tributaria (SUNAT) para DAIRA S.A.C. El módulo comprende la integración segura con los servicios web oficiales de SUNAT mediante autenticación OAuth2 (flujo client_credentials) con gestión y caché de tokens de acceso, y la orquestación asíncrona de consultas masivas e individuales recibiendo el lote de comprobantes preparados y seleccionados por el Módulo 1. Incluye el control de concurrencia mediante semáforos asíncronos y pausas controladas para no saturar los servicios externos, resiliencia con reintentos inteligentes ante fallas técnicas transitorias y HTTP 401, decodificación normativa de respuestas oficiales clasificando en estados unificados (VÁLIDO, NO VÁLIDO, OBSERVADO y ERROR), visualización reactiva del progreso en tiempo real, reintento focalizado de comprobantes con error, módulo de historial con búsqueda multicriterio, dashboard gerencial de métricas tributarias en PostgreSQL, exportación de reportes oficiales en Excel (.xlsx) con protección contra inyección de fórmulas y registro inmutable de auditoría para todas las operaciones críticas.</w:t>
            </w:r>
          </w:p>
        </w:tc>
      </w:tr>
      <w:tr w:rsidR="00E573FC" w:rsidRPr="00E50D70" w14:paraId="0C728B8D" w14:textId="77777777" w:rsidTr="00313338">
        <w:trPr>
          <w:trHeight w:val="1270"/>
        </w:trPr>
        <w:tc>
          <w:tcPr>
            <w:tcW w:w="9522" w:type="dxa"/>
            <w:gridSpan w:val="2"/>
            <w:hideMark/>
          </w:tcPr>
          <w:p w14:paraId="7D79E0B5" w14:textId="77777777" w:rsidR="00E573FC" w:rsidRDefault="00E573FC" w:rsidP="00313338">
            <w:pPr>
              <w:spacing w:line="375" w:lineRule="atLeast"/>
              <w:jc w:val="center"/>
              <w:rPr>
                <w:b/>
                <w:bCs/>
                <w:color w:val="000000" w:themeColor="text1"/>
                <w:sz w:val="24"/>
                <w:szCs w:val="24"/>
                <w:lang w:eastAsia="es-ES"/>
              </w:rPr>
            </w:pPr>
          </w:p>
          <w:p w14:paraId="47AE8008" w14:textId="77777777" w:rsidR="00E573FC" w:rsidRPr="008375BC" w:rsidRDefault="00E573FC" w:rsidP="00313338">
            <w:pPr>
              <w:spacing w:line="375" w:lineRule="atLeast"/>
              <w:jc w:val="center"/>
              <w:rPr>
                <w:b/>
                <w:bCs/>
                <w:color w:val="000000" w:themeColor="text1"/>
                <w:sz w:val="24"/>
                <w:szCs w:val="24"/>
                <w:lang w:eastAsia="es-ES"/>
              </w:rPr>
            </w:pPr>
            <w:r w:rsidRPr="008375BC">
              <w:rPr>
                <w:b/>
                <w:bCs/>
                <w:color w:val="000000" w:themeColor="text1"/>
                <w:sz w:val="24"/>
                <w:szCs w:val="24"/>
                <w:lang w:eastAsia="es-ES"/>
              </w:rPr>
              <w:t>Requerimientos aprobados por el cliente</w:t>
            </w:r>
          </w:p>
        </w:tc>
      </w:tr>
      <w:tr w:rsidR="00E573FC" w:rsidRPr="00E50D70" w14:paraId="6F85B829" w14:textId="77777777" w:rsidTr="00313338">
        <w:trPr>
          <w:trHeight w:val="1270"/>
        </w:trPr>
        <w:tc>
          <w:tcPr>
            <w:tcW w:w="0" w:type="auto"/>
            <w:gridSpan w:val="2"/>
          </w:tcPr>
          <w:p w14:paraId="21604F21" w14:textId="77777777" w:rsidR="00E573FC" w:rsidRPr="00E50D70" w:rsidRDefault="00E573FC" w:rsidP="00313338">
            <w:pPr>
              <w:spacing w:line="375" w:lineRule="atLeast"/>
              <w:rPr>
                <w:b/>
                <w:bCs/>
                <w:color w:val="000000" w:themeColor="text1"/>
                <w:sz w:val="24"/>
                <w:szCs w:val="24"/>
                <w:lang w:eastAsia="es-ES"/>
              </w:rPr>
            </w:pPr>
          </w:p>
          <w:p w14:paraId="06C87398" w14:textId="77777777" w:rsidR="00E573FC" w:rsidRPr="008375BC" w:rsidRDefault="00E573FC" w:rsidP="00313338">
            <w:pPr>
              <w:rPr>
                <w:b/>
                <w:bCs/>
                <w:color w:val="000000" w:themeColor="text1"/>
                <w:sz w:val="24"/>
                <w:szCs w:val="24"/>
              </w:rPr>
              <w:spacing w:line="375" w:lineRule="atLeast" w:after="120" w:before="120"/>
            </w:pPr>
            <w:r>
              <w:rPr>
                <w:rFonts w:ascii="Aptos" w:hAnsi="Aptos"/>
                <w:b/>
                <w:color w:val="000000"/>
                <w:sz w:val="24"/>
              </w:rPr>
              <w:t>Módulo 2: Validación SUNAT, Procesamiento y Gestión de Resultados</w:t>
            </w:r>
          </w:p>
          <w:tbl>
            <w:tblPr>
              <w:tblStyle w:val="Tablaconcuadrcula"/>
              <w:tblW w:w="8576" w:type="dxa"/>
              <w:tblLook w:val="04A0" w:firstRow="1" w:lastRow="0" w:firstColumn="1" w:lastColumn="0" w:noHBand="0" w:noVBand="1"/>
            </w:tblPr>
            <w:tblGrid>
              <w:gridCol w:w="700"/>
              <w:gridCol w:w="2766"/>
              <w:gridCol w:w="5110"/>
            </w:tblGrid>
            <w:tr w:rsidR="00E573FC" w:rsidRPr="00E50D70" w14:paraId="174CF46E" w14:textId="77777777" w:rsidTr="00313338">
              <w:trPr>
                <w:trHeight w:val="371" w:hRule="atLeast"/>
              </w:trPr>
              <w:tc>
                <w:tcPr>
                  <w:hideMark/>
                  <w:tcW w:w="907" w:type="dxa"/>
                  <w:tcMar>
                    <w:top w:w="80" w:type="dxa"/>
                    <w:bottom w:w="80" w:type="dxa"/>
                    <w:left w:w="120" w:type="dxa"/>
                    <w:right w:w="120" w:type="dxa"/>
                  </w:tcMar>
                  <w:shd w:fill="D1D1D1"/>
                </w:tcPr>
                <w:p w14:paraId="53073016" w14:textId="77777777" w:rsidR="00E573FC" w:rsidRPr="008375BC" w:rsidRDefault="00E573FC" w:rsidP="00313338">
                  <w:pPr>
                    <w:jc w:val="left"/>
                    <w:rPr>
                      <w:color w:val="000000" w:themeColor="text1"/>
                      <w:sz w:val="24"/>
                      <w:szCs w:val="24"/>
                    </w:rPr>
                    <w:spacing w:line="375" w:lineRule="atLeast" w:after="0" w:before="0"/>
                  </w:pPr>
                  <w:r/>
                  <w:r>
                    <w:rPr>
                      <w:rFonts w:ascii="Aptos" w:hAnsi="Aptos"/>
                      <w:b/>
                      <w:color w:val="000000"/>
                      <w:sz w:val="24"/>
                    </w:rPr>
                    <w:t>N°</w:t>
                  </w:r>
                </w:p>
              </w:tc>
              <w:tc>
                <w:tcPr>
                  <w:hideMark/>
                  <w:tcW w:w="2495" w:type="dxa"/>
                  <w:tcMar>
                    <w:top w:w="80" w:type="dxa"/>
                    <w:bottom w:w="80" w:type="dxa"/>
                    <w:left w:w="120" w:type="dxa"/>
                    <w:right w:w="120" w:type="dxa"/>
                  </w:tcMar>
                  <w:shd w:fill="D1D1D1"/>
                </w:tcPr>
                <w:p w14:paraId="55CC99BA" w14:textId="77777777" w:rsidR="00E573FC" w:rsidRPr="008375BC" w:rsidRDefault="00E573FC" w:rsidP="00313338">
                  <w:pPr>
                    <w:jc w:val="left"/>
                    <w:rPr>
                      <w:color w:val="000000" w:themeColor="text1"/>
                      <w:sz w:val="24"/>
                      <w:szCs w:val="24"/>
                    </w:rPr>
                    <w:spacing w:line="375" w:lineRule="atLeast" w:after="0" w:before="0"/>
                  </w:pPr>
                  <w:r/>
                  <w:r>
                    <w:rPr>
                      <w:rFonts w:ascii="Aptos" w:hAnsi="Aptos"/>
                      <w:b/>
                      <w:color w:val="000000"/>
                      <w:sz w:val="24"/>
                    </w:rPr>
                    <w:t>Requerimiento</w:t>
                  </w:r>
                </w:p>
              </w:tc>
              <w:tc>
                <w:tcPr>
                  <w:hideMark/>
                  <w:tcW w:w="5102" w:type="dxa"/>
                  <w:tcMar>
                    <w:top w:w="80" w:type="dxa"/>
                    <w:bottom w:w="80" w:type="dxa"/>
                    <w:left w:w="120" w:type="dxa"/>
                    <w:right w:w="120" w:type="dxa"/>
                  </w:tcMar>
                  <w:shd w:fill="D1D1D1"/>
                </w:tcPr>
                <w:p w14:paraId="25325754" w14:textId="77777777" w:rsidR="00E573FC" w:rsidRPr="008375BC" w:rsidRDefault="00E573FC" w:rsidP="00313338">
                  <w:pPr>
                    <w:jc w:val="left"/>
                    <w:rPr>
                      <w:color w:val="000000" w:themeColor="text1"/>
                      <w:sz w:val="24"/>
                      <w:szCs w:val="24"/>
                    </w:rPr>
                    <w:spacing w:line="375" w:lineRule="atLeast" w:after="0" w:before="0"/>
                  </w:pPr>
                  <w:r/>
                  <w:r>
                    <w:rPr>
                      <w:rFonts w:ascii="Aptos" w:hAnsi="Aptos"/>
                      <w:b/>
                      <w:color w:val="000000"/>
                      <w:sz w:val="24"/>
                    </w:rPr>
                    <w:t>Descripción</w:t>
                  </w:r>
                </w:p>
              </w:tc>
            </w:tr>
            <w:tr w:rsidR="00E573FC" w:rsidRPr="00E50D70" w14:paraId="5A6DA206" w14:textId="77777777" w:rsidTr="00313338">
              <w:trPr>
                <w:trHeight w:val="340" w:hRule="atLeast"/>
              </w:trPr>
              <w:tc>
                <w:tcPr>
                  <w:hideMark/>
                  <w:tcW w:w="907" w:type="dxa"/>
                  <w:tcMar>
                    <w:top w:w="80" w:type="dxa"/>
                    <w:bottom w:w="80" w:type="dxa"/>
                    <w:left w:w="120" w:type="dxa"/>
                    <w:right w:w="120" w:type="dxa"/>
                  </w:tcMar>
                </w:tcPr>
                <w:p w14:paraId="7E49DB4D"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RF14</w:t>
                  </w:r>
                </w:p>
              </w:tc>
              <w:tc>
                <w:tcPr>
                  <w:hideMark/>
                  <w:tcW w:w="2495" w:type="dxa"/>
                  <w:tcMar>
                    <w:top w:w="80" w:type="dxa"/>
                    <w:bottom w:w="80" w:type="dxa"/>
                    <w:left w:w="120" w:type="dxa"/>
                    <w:right w:w="120" w:type="dxa"/>
                  </w:tcMar>
                </w:tcPr>
                <w:p w14:paraId="726F13C7"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Autenticación OAuth2 y gestión inteligente de tokens de acceso SUNAT</w:t>
                  </w:r>
                </w:p>
              </w:tc>
              <w:tc>
                <w:tcPr>
                  <w:hideMark/>
                  <w:tcW w:w="5102" w:type="dxa"/>
                  <w:tcMar>
                    <w:top w:w="80" w:type="dxa"/>
                    <w:bottom w:w="80" w:type="dxa"/>
                    <w:left w:w="120" w:type="dxa"/>
                    <w:right w:w="120" w:type="dxa"/>
                  </w:tcMar>
                </w:tcPr>
                <w:p w14:paraId="2A56AE68"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gestionará la autenticación ante el servidor oficial de identidad de SUNAT (api-seguridad.sunat.gob.pe) mediante el flujo OAuth2 client_credentials, utilizando el client_id y client_secret configurados para la empresa activa. Implementará un mecanismo de almacenamiento en caché en memoria por RUC de la empresa con tiempo de expiración y buffer de seguridad de 60 segundos para evitar llamadas repetitivas de autenticación, empleando candados asíncronos (asyncio.Lock) para prevenir condiciones de carrera en solicitudes simultáneas.</w:t>
                  </w:r>
                </w:p>
              </w:tc>
            </w:tr>
            <w:tr w:rsidR="00E573FC" w:rsidRPr="00E50D70" w14:paraId="3EB31CCC" w14:textId="77777777" w:rsidTr="00313338">
              <w:trPr>
                <w:trHeight w:val="340" w:hRule="atLeast"/>
              </w:trPr>
              <w:tc>
                <w:tcPr>
                  <w:hideMark/>
                  <w:tcW w:w="907" w:type="dxa"/>
                  <w:tcMar>
                    <w:top w:w="80" w:type="dxa"/>
                    <w:bottom w:w="80" w:type="dxa"/>
                    <w:left w:w="120" w:type="dxa"/>
                    <w:right w:w="120" w:type="dxa"/>
                  </w:tcMar>
                </w:tcPr>
                <w:p w14:paraId="3AED9CA4"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RF15</w:t>
                  </w:r>
                </w:p>
              </w:tc>
              <w:tc>
                <w:tcPr>
                  <w:hideMark/>
                  <w:tcW w:w="2495" w:type="dxa"/>
                  <w:tcMar>
                    <w:top w:w="80" w:type="dxa"/>
                    <w:bottom w:w="80" w:type="dxa"/>
                    <w:left w:w="120" w:type="dxa"/>
                    <w:right w:w="120" w:type="dxa"/>
                  </w:tcMar>
                </w:tcPr>
                <w:p w14:paraId="489F1EF6"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Consulta y validación individual de comprobantes ante web service SUNAT</w:t>
                  </w:r>
                </w:p>
              </w:tc>
              <w:tc>
                <w:tcPr>
                  <w:hideMark/>
                  <w:tcW w:w="5102" w:type="dxa"/>
                  <w:tcMar>
                    <w:top w:w="80" w:type="dxa"/>
                    <w:bottom w:w="80" w:type="dxa"/>
                    <w:left w:w="120" w:type="dxa"/>
                    <w:right w:w="120" w:type="dxa"/>
                  </w:tcMar>
                </w:tcPr>
                <w:p w14:paraId="1B73A5FA"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permitirá la consulta individual e inmediata de un comprobante de pago electrónico ante la API oficial de SUNAT (validarcomprobante), transmitiendo el RUC de la empresa consultora en la URL y enviando en el cuerpo JSON: RUC emisor, código de tipo de comprobante, serie, número correlativo, fecha de emisión (DD/MM/YYYY) e importe total. Registrará de forma inmediata el resultado en la base de datos PostgreSQL en la entidad ConsultaCPE y retornará la respuesta detallada con la descripción del estado y datos de la empresa consultora.</w:t>
                  </w:r>
                </w:p>
              </w:tc>
            </w:tr>
            <w:tr w:rsidR="00E573FC" w:rsidRPr="00E50D70" w14:paraId="149CDF00" w14:textId="77777777" w:rsidTr="00313338">
              <w:trPr>
                <w:trHeight w:val="340" w:hRule="atLeast"/>
              </w:trPr>
              <w:tc>
                <w:tcPr>
                  <w:hideMark/>
                  <w:tcW w:w="907" w:type="dxa"/>
                  <w:tcMar>
                    <w:top w:w="80" w:type="dxa"/>
                    <w:bottom w:w="80" w:type="dxa"/>
                    <w:left w:w="120" w:type="dxa"/>
                    <w:right w:w="120" w:type="dxa"/>
                  </w:tcMar>
                </w:tcPr>
                <w:p w14:paraId="786481B1"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RF16</w:t>
                  </w:r>
                </w:p>
              </w:tc>
              <w:tc>
                <w:tcPr>
                  <w:hideMark/>
                  <w:tcW w:w="2495" w:type="dxa"/>
                  <w:tcMar>
                    <w:top w:w="80" w:type="dxa"/>
                    <w:bottom w:w="80" w:type="dxa"/>
                    <w:left w:w="120" w:type="dxa"/>
                    <w:right w:w="120" w:type="dxa"/>
                  </w:tcMar>
                </w:tcPr>
                <w:p w14:paraId="42D05D5C"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Orquestación y despacho asíncrono de procesos masivos con soporte de idempotencia</w:t>
                  </w:r>
                </w:p>
              </w:tc>
              <w:tc>
                <w:tcPr>
                  <w:hideMark/>
                  <w:tcW w:w="5102" w:type="dxa"/>
                  <w:tcMar>
                    <w:top w:w="80" w:type="dxa"/>
                    <w:bottom w:w="80" w:type="dxa"/>
                    <w:left w:w="120" w:type="dxa"/>
                    <w:right w:w="120" w:type="dxa"/>
                  </w:tcMar>
                </w:tcPr>
                <w:p w14:paraId="4E9A6837"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recibirá el lote de comprobantes preparados y seleccionados por el Integrante 1, persistiendo de manera atómica el registro maestro del proceso masivo (ProcesoMasivo) y cada uno de sus ítems individuales (ProcesoMasivoItem) en PostgreSQL con estado inicial PENDIENTE. Soportará la cabecera Idempotency-Key para evitar la creación duplicada de procesos ante reintentos o clics repetidos en el cliente web, y despachará la ejecución del procesamiento masivo en segundo plano mediante tareas desacopladas (asyncio.create_task), respondiendo inmediatamente al frontend con el identificador del proceso.</w:t>
                  </w:r>
                </w:p>
              </w:tc>
            </w:tr>
            <w:tr w:rsidR="00E573FC" w:rsidRPr="00E50D70" w14:paraId="5CCB4615" w14:textId="77777777" w:rsidTr="00313338">
              <w:trPr>
                <w:trHeight w:val="340" w:hRule="atLeast"/>
              </w:trPr>
              <w:tc>
                <w:tcPr>
                  <w:hideMark/>
                  <w:tcW w:w="907" w:type="dxa"/>
                  <w:tcMar>
                    <w:top w:w="80" w:type="dxa"/>
                    <w:bottom w:w="80" w:type="dxa"/>
                    <w:left w:w="120" w:type="dxa"/>
                    <w:right w:w="120" w:type="dxa"/>
                  </w:tcMar>
                </w:tcPr>
                <w:p w14:paraId="6123AE62"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RF17</w:t>
                  </w:r>
                </w:p>
              </w:tc>
              <w:tc>
                <w:tcPr>
                  <w:hideMark/>
                  <w:tcW w:w="2495" w:type="dxa"/>
                  <w:tcMar>
                    <w:top w:w="80" w:type="dxa"/>
                    <w:bottom w:w="80" w:type="dxa"/>
                    <w:left w:w="120" w:type="dxa"/>
                    <w:right w:w="120" w:type="dxa"/>
                  </w:tcMar>
                </w:tcPr>
                <w:p w14:paraId="30E5C5F6"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Control de concurrencia y tasa de despacho hacia la API de SUNAT</w:t>
                  </w:r>
                </w:p>
              </w:tc>
              <w:tc>
                <w:tcPr>
                  <w:hideMark/>
                  <w:tcW w:w="5102" w:type="dxa"/>
                  <w:tcMar>
                    <w:top w:w="80" w:type="dxa"/>
                    <w:bottom w:w="80" w:type="dxa"/>
                    <w:left w:w="120" w:type="dxa"/>
                    <w:right w:w="120" w:type="dxa"/>
                  </w:tcMar>
                </w:tcPr>
                <w:p w14:paraId="79E83878"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worker en segundo plano procesará los ítems del lote aplicando un control estricto de concurrencia mediante semáforos asíncronos (asyncio.Semaphore), regulando el número máximo de peticiones HTTP simultáneas (configurable, ej. 5 solicitudes concurrentes). Asimismo, intercalará un retraso configurable (SUNAT_REQUEST_DELAY_MS) entre peticiones para regular el tráfico y cumplir con las políticas de consumo responsable de la infraestructura de SUNAT, garantizando que las llamadas externas se realicen fuera de transacciones abiertas de base de datos para no bloquear conexiones del pool.</w:t>
                  </w:r>
                </w:p>
              </w:tc>
            </w:tr>
            <w:tr w:rsidR="00E573FC" w:rsidRPr="00E50D70" w14:paraId="73969788" w14:textId="77777777" w:rsidTr="00313338">
              <w:trPr>
                <w:trHeight w:val="340" w:hRule="atLeast"/>
              </w:trPr>
              <w:tc>
                <w:tcPr>
                  <w:hideMark/>
                  <w:tcW w:w="907" w:type="dxa"/>
                  <w:tcMar>
                    <w:top w:w="80" w:type="dxa"/>
                    <w:bottom w:w="80" w:type="dxa"/>
                    <w:left w:w="120" w:type="dxa"/>
                    <w:right w:w="120" w:type="dxa"/>
                  </w:tcMar>
                </w:tcPr>
                <w:p w14:paraId="7D4C8272"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RF18</w:t>
                  </w:r>
                </w:p>
              </w:tc>
              <w:tc>
                <w:tcPr>
                  <w:hideMark/>
                  <w:tcW w:w="2495" w:type="dxa"/>
                  <w:tcMar>
                    <w:top w:w="80" w:type="dxa"/>
                    <w:bottom w:w="80" w:type="dxa"/>
                    <w:left w:w="120" w:type="dxa"/>
                    <w:right w:w="120" w:type="dxa"/>
                  </w:tcMar>
                </w:tcPr>
                <w:p w14:paraId="7B35420D"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Resiliencia técnica y política de reintentos inteligentes ante fallas de red y HTTP 401</w:t>
                  </w:r>
                </w:p>
              </w:tc>
              <w:tc>
                <w:tcPr>
                  <w:hideMark/>
                  <w:tcW w:w="5102" w:type="dxa"/>
                  <w:tcMar>
                    <w:top w:w="80" w:type="dxa"/>
                    <w:bottom w:w="80" w:type="dxa"/>
                    <w:left w:w="120" w:type="dxa"/>
                    <w:right w:w="120" w:type="dxa"/>
                  </w:tcMar>
                </w:tcPr>
                <w:p w14:paraId="4533E9A1"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implementará una política de reintentos selectivos: si el servicio de SUNAT responde con código HTTP 401 (token expirado o revocado), el sistema invalidará inmediatamente el token en caché, solicitará un nuevo token Bearer y reintentará la petición exactamente una vez. Ante errores técnicos transitorios de comunicación (timeouts de conexión o caídas de red), ejecutará hasta un número máximo de reintentos automáticos (configurable, ej. 3 intentos) registrando el número de intentos realizados; por el contrario, los errores de negocio tributario no serán reintentados para evitar sobrecarga inútil.</w:t>
                  </w:r>
                </w:p>
              </w:tc>
            </w:tr>
            <w:tr w:rsidR="00E573FC" w:rsidRPr="00E50D70" w14:paraId="381F638E" w14:textId="77777777" w:rsidTr="00313338">
              <w:trPr>
                <w:trHeight w:val="340" w:hRule="atLeast"/>
              </w:trPr>
              <w:tc>
                <w:tcPr>
                  <w:hideMark/>
                  <w:tcW w:w="907" w:type="dxa"/>
                  <w:tcMar>
                    <w:top w:w="80" w:type="dxa"/>
                    <w:bottom w:w="80" w:type="dxa"/>
                    <w:left w:w="120" w:type="dxa"/>
                    <w:right w:w="120" w:type="dxa"/>
                  </w:tcMar>
                </w:tcPr>
                <w:p w14:paraId="734038A2"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RF19</w:t>
                  </w:r>
                </w:p>
              </w:tc>
              <w:tc>
                <w:tcPr>
                  <w:hideMark/>
                  <w:tcW w:w="2495" w:type="dxa"/>
                  <w:tcMar>
                    <w:top w:w="80" w:type="dxa"/>
                    <w:bottom w:w="80" w:type="dxa"/>
                    <w:left w:w="120" w:type="dxa"/>
                    <w:right w:w="120" w:type="dxa"/>
                  </w:tcMar>
                </w:tcPr>
                <w:p w14:paraId="01C9A55A"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Interpretación determinista de respuestas SUNAT según catálogo oficial</w:t>
                  </w:r>
                </w:p>
              </w:tc>
              <w:tc>
                <w:tcPr>
                  <w:hideMark/>
                  <w:tcW w:w="5102" w:type="dxa"/>
                  <w:tcMar>
                    <w:top w:w="80" w:type="dxa"/>
                    <w:bottom w:w="80" w:type="dxa"/>
                    <w:left w:w="120" w:type="dxa"/>
                    <w:right w:w="120" w:type="dxa"/>
                  </w:tcMar>
                </w:tcPr>
                <w:p w14:paraId="2FD922F8"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interpretará exhaustivamente la respuesta JSON devuelta por SUNAT conforme al manual oficial de consulta de validez. Decodificará los códigos oficiales de estado del comprobante (estadoCp: 0=No Existe, 1=Aceptado, 2=Anulado, 3=Autorizado, 4=No Autorizado), estado del contribuyente (estadoRuc: 00=Activo, 01=Baja Provisional, etc.) y condición del domicilio fiscal (condDomiRuc: 00=Habido, 12=No Habido, 20=No Hallado), así como la lista de observaciones. Clasificará el comprobante de forma unificada y determinista en uno de cuatro estados internos: VALIDO (Aceptado, Activo y Habido sin observaciones), NO_VALIDO (No Existe, Anulado o No Autorizado), OBSERVADO (comprobante informado pero con emisor No Habido, RUC no activo o con observaciones tributarias) o ERROR (falla técnica de comunicación o respuesta no interpretable).</w:t>
                  </w:r>
                </w:p>
              </w:tc>
            </w:tr>
            <w:tr w:rsidR="00E573FC" w:rsidRPr="00E50D70" w14:paraId="13BE6EBF" w14:textId="77777777" w:rsidTr="00313338">
              <w:trPr>
                <w:trHeight w:val="340" w:hRule="atLeast"/>
              </w:trPr>
              <w:tc>
                <w:tcPr>
                  <w:hideMark/>
                  <w:tcW w:w="907" w:type="dxa"/>
                  <w:tcMar>
                    <w:top w:w="80" w:type="dxa"/>
                    <w:bottom w:w="80" w:type="dxa"/>
                    <w:left w:w="120" w:type="dxa"/>
                    <w:right w:w="120" w:type="dxa"/>
                  </w:tcMar>
                </w:tcPr>
                <w:p w14:paraId="273B18CD"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RF20</w:t>
                  </w:r>
                </w:p>
              </w:tc>
              <w:tc>
                <w:tcPr>
                  <w:hideMark/>
                  <w:tcW w:w="2495" w:type="dxa"/>
                  <w:tcMar>
                    <w:top w:w="80" w:type="dxa"/>
                    <w:bottom w:w="80" w:type="dxa"/>
                    <w:left w:w="120" w:type="dxa"/>
                    <w:right w:w="120" w:type="dxa"/>
                  </w:tcMar>
                </w:tcPr>
                <w:p w14:paraId="21333EA0"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Monitoreo en tiempo real del progreso del proceso masivo</w:t>
                  </w:r>
                </w:p>
              </w:tc>
              <w:tc>
                <w:tcPr>
                  <w:hideMark/>
                  <w:tcW w:w="5102" w:type="dxa"/>
                  <w:tcMar>
                    <w:top w:w="80" w:type="dxa"/>
                    <w:bottom w:w="80" w:type="dxa"/>
                    <w:left w:w="120" w:type="dxa"/>
                    <w:right w:w="120" w:type="dxa"/>
                  </w:tcMar>
                </w:tcPr>
                <w:p w14:paraId="45F644E9"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calculará y actualizará dinámicamente en la base de datos el progreso del procesamiento en curso: porcentaje completado con dos decimales, total de registros procesados, cantidad acumulada de comprobantes válidos, no válidos, observados y con error, junto con las marcas de tiempo de inicio (started_at) y culminación (finished_at). La interfaz web consumirá periódicamente el estado del proceso mediante peticiones asíncronas de polling, reflejando una barra de progreso animada y contadores reactivos sin requerir la recarga manual de la página web.</w:t>
                  </w:r>
                </w:p>
              </w:tc>
            </w:tr>
            <w:tr w:rsidR="00E573FC" w:rsidRPr="00E50D70" w14:paraId="712131F6" w14:textId="77777777" w:rsidTr="00313338">
              <w:trPr>
                <w:trHeight w:val="340" w:hRule="atLeast"/>
              </w:trPr>
              <w:tc>
                <w:tcPr>
                  <w:hideMark/>
                  <w:tcW w:w="907" w:type="dxa"/>
                  <w:tcMar>
                    <w:top w:w="80" w:type="dxa"/>
                    <w:bottom w:w="80" w:type="dxa"/>
                    <w:left w:w="120" w:type="dxa"/>
                    <w:right w:w="120" w:type="dxa"/>
                  </w:tcMar>
                </w:tcPr>
                <w:p w14:paraId="0BAB4F89"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RF21</w:t>
                  </w:r>
                </w:p>
              </w:tc>
              <w:tc>
                <w:tcPr>
                  <w:hideMark/>
                  <w:tcW w:w="2495" w:type="dxa"/>
                  <w:tcMar>
                    <w:top w:w="80" w:type="dxa"/>
                    <w:bottom w:w="80" w:type="dxa"/>
                    <w:left w:w="120" w:type="dxa"/>
                    <w:right w:w="120" w:type="dxa"/>
                  </w:tcMar>
                </w:tcPr>
                <w:p w14:paraId="4616EC72"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Reintento focalizado de comprobantes con error técnico</w:t>
                  </w:r>
                </w:p>
              </w:tc>
              <w:tc>
                <w:tcPr>
                  <w:hideMark/>
                  <w:tcW w:w="5102" w:type="dxa"/>
                  <w:tcMar>
                    <w:top w:w="80" w:type="dxa"/>
                    <w:bottom w:w="80" w:type="dxa"/>
                    <w:left w:w="120" w:type="dxa"/>
                    <w:right w:w="120" w:type="dxa"/>
                  </w:tcMar>
                </w:tcPr>
                <w:p w14:paraId="7879BBA9"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permitirá al usuario ejecutar un reprocesamiento bajo demanda exclusivo para aquellos comprobantes que hayan culminado en estado ERROR debido a caídas transitorias de conexión o saturación temporal de SUNAT. El servicio reactivará únicamente los ítems fallidos reiniciando sus contadores de intentos y lanzando un worker dedicado en segundo plano, preservando inalterados los comprobantes que ya obtuvieron un resultado fiscal definitivo (Válido, No Válido u Observado).</w:t>
                  </w:r>
                </w:p>
              </w:tc>
            </w:tr>
            <w:tr w:rsidR="00E573FC" w:rsidRPr="00E50D70" w14:paraId="07FF32CA" w14:textId="77777777" w:rsidTr="00313338">
              <w:trPr>
                <w:trHeight w:val="340" w:hRule="atLeast"/>
              </w:trPr>
              <w:tc>
                <w:tcPr>
                  <w:hideMark/>
                  <w:tcW w:w="907" w:type="dxa"/>
                  <w:tcMar>
                    <w:top w:w="80" w:type="dxa"/>
                    <w:bottom w:w="80" w:type="dxa"/>
                    <w:left w:w="120" w:type="dxa"/>
                    <w:right w:w="120" w:type="dxa"/>
                  </w:tcMar>
                </w:tcPr>
                <w:p w14:paraId="2186960B"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RF22</w:t>
                  </w:r>
                </w:p>
              </w:tc>
              <w:tc>
                <w:tcPr>
                  <w:hideMark/>
                  <w:tcW w:w="2495" w:type="dxa"/>
                  <w:tcMar>
                    <w:top w:w="80" w:type="dxa"/>
                    <w:bottom w:w="80" w:type="dxa"/>
                    <w:left w:w="120" w:type="dxa"/>
                    <w:right w:w="120" w:type="dxa"/>
                  </w:tcMar>
                </w:tcPr>
                <w:p w14:paraId="4336D839"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Historial, búsqueda multicriterio y detalle granular de comprobantes</w:t>
                  </w:r>
                </w:p>
              </w:tc>
              <w:tc>
                <w:tcPr>
                  <w:hideMark/>
                  <w:tcW w:w="5102" w:type="dxa"/>
                  <w:tcMar>
                    <w:top w:w="80" w:type="dxa"/>
                    <w:bottom w:w="80" w:type="dxa"/>
                    <w:left w:w="120" w:type="dxa"/>
                    <w:right w:w="120" w:type="dxa"/>
                  </w:tcMar>
                </w:tcPr>
                <w:p w14:paraId="2A11CD56"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almacenará de manera permanente el histórico de todos los procesos masivos y consultas individuales ejecutadas para la empresa. Permitirá realizar búsquedas avanzadas y aplicar filtros combinados por rango de fechas de emisión o proceso, número de RUC emisor, serie, número correlativo, razón social, estado de validación interno (VALIDO, NO_VALIDO, OBSERVADO, ERROR) y código oficial de SUNAT. Cada registro dispondrá de una vista de detalle granular que exhibirá la respuesta JSON cruda sanitizada de SUNAT, código de estado HTTP y observaciones tributarias.</w:t>
                  </w:r>
                </w:p>
              </w:tc>
            </w:tr>
            <w:tr w:rsidR="00E573FC" w:rsidRPr="00E50D70" w14:paraId="77ECE49A" w14:textId="77777777" w:rsidTr="00313338">
              <w:trPr>
                <w:trHeight w:val="340" w:hRule="atLeast"/>
              </w:trPr>
              <w:tc>
                <w:tcPr>
                  <w:tcW w:w="907" w:type="dxa"/>
                  <w:tcMar>
                    <w:top w:w="80" w:type="dxa"/>
                    <w:bottom w:w="80" w:type="dxa"/>
                    <w:left w:w="120" w:type="dxa"/>
                    <w:right w:w="120" w:type="dxa"/>
                  </w:tcMar>
                </w:tcPr>
                <w:p w14:paraId="644C1AFD" w14:textId="77777777" w:rsidR="00E573FC" w:rsidRPr="00537218" w:rsidRDefault="00E573FC" w:rsidP="00313338">
                  <w:pPr>
                    <w:jc w:val="center"/>
                    <w:rPr>
                      <w:sz w:val="22"/>
                      <w:szCs w:val="22"/>
                    </w:rPr>
                    <w:spacing w:line="350" w:lineRule="atLeast" w:after="0" w:before="0"/>
                  </w:pPr>
                  <w:r/>
                  <w:r>
                    <w:rPr>
                      <w:rFonts w:ascii="Aptos" w:hAnsi="Aptos"/>
                      <w:b w:val="0"/>
                      <w:color w:val="000000"/>
                      <w:sz w:val="22"/>
                    </w:rPr>
                    <w:t>RF23</w:t>
                  </w:r>
                </w:p>
              </w:tc>
              <w:tc>
                <w:tcPr>
                  <w:tcW w:w="2495" w:type="dxa"/>
                  <w:tcMar>
                    <w:top w:w="80" w:type="dxa"/>
                    <w:bottom w:w="80" w:type="dxa"/>
                    <w:left w:w="120" w:type="dxa"/>
                    <w:right w:w="120" w:type="dxa"/>
                  </w:tcMar>
                </w:tcPr>
                <w:p w14:paraId="56B4512C" w14:textId="77777777" w:rsidR="00E573FC" w:rsidRPr="00537218" w:rsidRDefault="00E573FC" w:rsidP="00313338">
                  <w:pPr>
                    <w:jc w:val="left"/>
                    <w:rPr>
                      <w:sz w:val="22"/>
                      <w:szCs w:val="22"/>
                    </w:rPr>
                    <w:spacing w:line="350" w:lineRule="atLeast" w:after="0" w:before="0"/>
                  </w:pPr>
                  <w:r/>
                  <w:r>
                    <w:rPr>
                      <w:rFonts w:ascii="Aptos" w:hAnsi="Aptos"/>
                      <w:b w:val="0"/>
                      <w:color w:val="000000"/>
                      <w:sz w:val="22"/>
                    </w:rPr>
                    <w:t>Dashboard analítico y consolidación estadística tributaria</w:t>
                  </w:r>
                </w:p>
              </w:tc>
              <w:tc>
                <w:tcPr>
                  <w:tcW w:w="5102" w:type="dxa"/>
                  <w:tcMar>
                    <w:top w:w="80" w:type="dxa"/>
                    <w:bottom w:w="80" w:type="dxa"/>
                    <w:left w:w="120" w:type="dxa"/>
                    <w:right w:w="120" w:type="dxa"/>
                  </w:tcMar>
                </w:tcPr>
                <w:p w14:paraId="5E9AE916" w14:textId="77777777" w:rsidR="00E573FC" w:rsidRPr="00537218" w:rsidRDefault="00E573FC" w:rsidP="00313338">
                  <w:pPr>
                    <w:jc w:val="left"/>
                    <w:rPr>
                      <w:sz w:val="22"/>
                      <w:szCs w:val="22"/>
                    </w:rPr>
                    <w:spacing w:line="350" w:lineRule="atLeast" w:after="0" w:before="0"/>
                  </w:pPr>
                  <w:r/>
                  <w:r>
                    <w:rPr>
                      <w:rFonts w:ascii="Aptos" w:hAnsi="Aptos"/>
                      <w:b w:val="0"/>
                      <w:color w:val="000000"/>
                      <w:sz w:val="22"/>
                    </w:rPr>
                    <w:t>El sistema ofrecerá un panel de control gerencial (Dashboard) que consolidará métricas estadísticas en tiempo real calculadas directamente en PostgreSQL para la empresa activa. Mostrará tarjetas con el total acumulado de comprobantes consultados, distribución porcentual y cuantitativa por estado fiscal (válidos, no válidos, observados y errores), importes monetarios totales validados, desglose de errores frecuentes y filtros temporales interactivos por período, permitiendo a los contadores evaluar el riesgo tributario de sus adquisiciones.</w:t>
                  </w:r>
                </w:p>
              </w:tc>
            </w:tr>
            <w:tr w:rsidR="00E573FC" w:rsidRPr="00E50D70" w14:paraId="500FD475" w14:textId="77777777" w:rsidTr="00313338">
              <w:trPr>
                <w:trHeight w:val="340" w:hRule="atLeast"/>
              </w:trPr>
              <w:tc>
                <w:tcPr>
                  <w:tcW w:w="907" w:type="dxa"/>
                  <w:tcMar>
                    <w:top w:w="80" w:type="dxa"/>
                    <w:bottom w:w="80" w:type="dxa"/>
                    <w:left w:w="120" w:type="dxa"/>
                    <w:right w:w="120" w:type="dxa"/>
                  </w:tcMar>
                </w:tcPr>
                <w:p w14:paraId="560AF290" w14:textId="77777777" w:rsidR="00E573FC" w:rsidRPr="00537218" w:rsidRDefault="00E573FC" w:rsidP="00313338">
                  <w:pPr>
                    <w:jc w:val="center"/>
                    <w:rPr>
                      <w:sz w:val="22"/>
                      <w:szCs w:val="22"/>
                    </w:rPr>
                    <w:spacing w:line="350" w:lineRule="atLeast" w:after="0" w:before="0"/>
                  </w:pPr>
                  <w:r/>
                  <w:r>
                    <w:rPr>
                      <w:rFonts w:ascii="Aptos" w:hAnsi="Aptos"/>
                      <w:b w:val="0"/>
                      <w:color w:val="000000"/>
                      <w:sz w:val="22"/>
                    </w:rPr>
                    <w:t>RF24</w:t>
                  </w:r>
                </w:p>
              </w:tc>
              <w:tc>
                <w:tcPr>
                  <w:tcW w:w="2495" w:type="dxa"/>
                  <w:tcMar>
                    <w:top w:w="80" w:type="dxa"/>
                    <w:bottom w:w="80" w:type="dxa"/>
                    <w:left w:w="120" w:type="dxa"/>
                    <w:right w:w="120" w:type="dxa"/>
                  </w:tcMar>
                </w:tcPr>
                <w:p w14:paraId="7D0859A6" w14:textId="77777777" w:rsidR="00E573FC" w:rsidRPr="00537218" w:rsidRDefault="00E573FC" w:rsidP="00313338">
                  <w:pPr>
                    <w:jc w:val="left"/>
                    <w:rPr>
                      <w:sz w:val="22"/>
                      <w:szCs w:val="22"/>
                    </w:rPr>
                    <w:spacing w:line="350" w:lineRule="atLeast" w:after="0" w:before="0"/>
                  </w:pPr>
                  <w:r/>
                  <w:r>
                    <w:rPr>
                      <w:rFonts w:ascii="Aptos" w:hAnsi="Aptos"/>
                      <w:b w:val="0"/>
                      <w:color w:val="000000"/>
                      <w:sz w:val="22"/>
                    </w:rPr>
                    <w:t>Exportación de reportes oficiales a Excel con protección contra inyección de fórmulas</w:t>
                  </w:r>
                </w:p>
              </w:tc>
              <w:tc>
                <w:tcPr>
                  <w:tcW w:w="5102" w:type="dxa"/>
                  <w:tcMar>
                    <w:top w:w="80" w:type="dxa"/>
                    <w:bottom w:w="80" w:type="dxa"/>
                    <w:left w:w="120" w:type="dxa"/>
                    <w:right w:w="120" w:type="dxa"/>
                  </w:tcMar>
                </w:tcPr>
                <w:p w14:paraId="44641F41" w14:textId="77777777" w:rsidR="00E573FC" w:rsidRPr="00537218" w:rsidRDefault="00E573FC" w:rsidP="00313338">
                  <w:pPr>
                    <w:jc w:val="left"/>
                    <w:rPr>
                      <w:sz w:val="22"/>
                      <w:szCs w:val="22"/>
                    </w:rPr>
                    <w:spacing w:line="350" w:lineRule="atLeast" w:after="0" w:before="0"/>
                  </w:pPr>
                  <w:r/>
                  <w:r>
                    <w:rPr>
                      <w:rFonts w:ascii="Aptos" w:hAnsi="Aptos"/>
                      <w:b w:val="0"/>
                      <w:color w:val="000000"/>
                      <w:sz w:val="22"/>
                    </w:rPr>
                    <w:t>El sistema permitirá descargar los resultados completos y oficiales de cualquier proceso masivo en formato Excel (.xlsx). El archivo incluirá encabezados formales con los datos de la empresa consultora, estadísticas del lote, detalle de cada comprobante con su clave fiscal, fecha, monto_original contable, monto consultado a SUNAT, estado obtenido, código de respuesta y observaciones normativas de SUNAT. El servicio aplicará protección rigurosa contra vulnerabilidades de inyección de fórmulas en hojas de cálculo (CSV/Excel Formula Injection, neutralizando celdas que inicien con =, +, -, @) y aplicará rate limiting de descargas.</w:t>
                  </w:r>
                </w:p>
              </w:tc>
            </w:tr>
            <w:tr w:rsidR="00E573FC" w:rsidRPr="00E50D70" w14:paraId="346705E2" w14:textId="77777777" w:rsidTr="00313338">
              <w:trPr>
                <w:trHeight w:val="340" w:hRule="atLeast"/>
              </w:trPr>
              <w:tc>
                <w:tcPr>
                  <w:hideMark/>
                  <w:tcW w:w="907" w:type="dxa"/>
                  <w:tcMar>
                    <w:top w:w="80" w:type="dxa"/>
                    <w:bottom w:w="80" w:type="dxa"/>
                    <w:left w:w="120" w:type="dxa"/>
                    <w:right w:w="120" w:type="dxa"/>
                  </w:tcMar>
                </w:tcPr>
                <w:p w14:paraId="0A56702A" w14:textId="77777777" w:rsidR="00E573FC" w:rsidRPr="00537218" w:rsidRDefault="00E573FC" w:rsidP="00313338">
                  <w:pPr>
                    <w:jc w:val="center"/>
                    <w:rPr>
                      <w:color w:val="000000" w:themeColor="text1"/>
                      <w:sz w:val="22"/>
                      <w:szCs w:val="22"/>
                    </w:rPr>
                    <w:spacing w:line="350" w:lineRule="atLeast" w:after="0" w:before="0"/>
                  </w:pPr>
                  <w:r/>
                  <w:r>
                    <w:rPr>
                      <w:rFonts w:ascii="Aptos" w:hAnsi="Aptos"/>
                      <w:b w:val="0"/>
                      <w:color w:val="000000"/>
                      <w:sz w:val="22"/>
                    </w:rPr>
                    <w:t>RF25</w:t>
                  </w:r>
                </w:p>
              </w:tc>
              <w:tc>
                <w:tcPr>
                  <w:hideMark/>
                  <w:tcW w:w="2495" w:type="dxa"/>
                  <w:tcMar>
                    <w:top w:w="80" w:type="dxa"/>
                    <w:bottom w:w="80" w:type="dxa"/>
                    <w:left w:w="120" w:type="dxa"/>
                    <w:right w:w="120" w:type="dxa"/>
                  </w:tcMar>
                </w:tcPr>
                <w:p w14:paraId="31199EB3"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Auditoría inmutable de operaciones y sanitización de datos sensibles</w:t>
                  </w:r>
                </w:p>
              </w:tc>
              <w:tc>
                <w:tcPr>
                  <w:hideMark/>
                  <w:tcW w:w="5102" w:type="dxa"/>
                  <w:tcMar>
                    <w:top w:w="80" w:type="dxa"/>
                    <w:bottom w:w="80" w:type="dxa"/>
                    <w:left w:w="120" w:type="dxa"/>
                    <w:right w:w="120" w:type="dxa"/>
                  </w:tcMar>
                </w:tcPr>
                <w:p w14:paraId="3EEA0FA5" w14:textId="77777777" w:rsidR="00E573FC" w:rsidRPr="00537218" w:rsidRDefault="00E573FC" w:rsidP="00313338">
                  <w:pPr>
                    <w:jc w:val="left"/>
                    <w:rPr>
                      <w:color w:val="000000" w:themeColor="text1"/>
                      <w:sz w:val="22"/>
                      <w:szCs w:val="22"/>
                    </w:rPr>
                    <w:spacing w:line="350" w:lineRule="atLeast" w:after="0" w:before="0"/>
                  </w:pPr>
                  <w:r/>
                  <w:r>
                    <w:rPr>
                      <w:rFonts w:ascii="Aptos" w:hAnsi="Aptos"/>
                      <w:b w:val="0"/>
                      <w:color w:val="000000"/>
                      <w:sz w:val="22"/>
                    </w:rPr>
                    <w:t>El sistema mantendrá una bitácora inmutable de auditoría en la tabla auditoria_eventos, registrando cada acción relevante realizada por los usuarios (inicio de consultas masivas, consultas individuales, reintentos de errores, descargas de reportes Excel y rechazos de archivos). Cada registro capturará automáticamente el identificador de usuario, empresa asociada, acción, entidad afectada, detalle contextual en formato JSON, marca de tiempo y dirección IP del cliente. La información almacenada será sanitizada de manera estricta y recursiva para excluir cualquier secreto, token Bearer, credencial SOL o contraseña.</w:t>
                  </w:r>
                </w:p>
              </w:tc>
            </w:tr>
          </w:tbl>
          <w:p w14:paraId="6F5979E1" w14:textId="77777777" w:rsidR="00E573FC" w:rsidRPr="00E50D70" w:rsidRDefault="00E573FC" w:rsidP="00313338">
            <w:pPr>
              <w:rPr>
                <w:b/>
                <w:bCs/>
                <w:color w:val="000000" w:themeColor="text1"/>
                <w:sz w:val="24"/>
                <w:szCs w:val="24"/>
              </w:rPr>
            </w:pPr>
          </w:p>
          <w:p w14:paraId="56A59137" w14:textId="77777777" w:rsidR="00E573FC" w:rsidRPr="00E50D70" w:rsidRDefault="00E573FC" w:rsidP="00313338">
            <w:pPr>
              <w:rPr>
                <w:b/>
                <w:bCs/>
                <w:color w:val="000000" w:themeColor="text1"/>
                <w:sz w:val="24"/>
                <w:szCs w:val="24"/>
              </w:rPr>
            </w:pPr>
          </w:p>
          <w:p w14:paraId="28C0DB26" w14:textId="77777777" w:rsidR="00E573FC" w:rsidRDefault="00E573FC" w:rsidP="00313338">
            <w:pPr>
              <w:rPr>
                <w:b/>
                <w:bCs/>
                <w:color w:val="000000" w:themeColor="text1"/>
                <w:sz w:val="24"/>
                <w:szCs w:val="24"/>
              </w:rPr>
            </w:pPr>
          </w:p>
          <w:p w14:paraId="09A4176D" w14:textId="77777777" w:rsidR="00E573FC" w:rsidRDefault="00E573FC" w:rsidP="00313338">
            <w:pPr>
              <w:rPr>
                <w:b/>
                <w:bCs/>
                <w:color w:val="000000" w:themeColor="text1"/>
                <w:sz w:val="24"/>
                <w:szCs w:val="24"/>
              </w:rPr>
            </w:pPr>
          </w:p>
          <w:p w14:paraId="7723632C" w14:textId="77777777" w:rsidR="00E573FC" w:rsidRDefault="00E573FC" w:rsidP="00313338">
            <w:pPr>
              <w:rPr>
                <w:b/>
                <w:bCs/>
                <w:color w:val="000000" w:themeColor="text1"/>
                <w:sz w:val="24"/>
                <w:szCs w:val="24"/>
              </w:rPr>
            </w:pPr>
          </w:p>
          <w:p w14:paraId="23A08021" w14:textId="77777777" w:rsidR="00E573FC" w:rsidRDefault="00E573FC" w:rsidP="00313338">
            <w:pPr>
              <w:rPr>
                <w:b/>
                <w:bCs/>
                <w:color w:val="000000" w:themeColor="text1"/>
                <w:sz w:val="24"/>
                <w:szCs w:val="24"/>
              </w:rPr>
            </w:pPr>
          </w:p>
          <w:p w14:paraId="5F603041" w14:textId="77777777" w:rsidR="00E573FC" w:rsidRDefault="00E573FC" w:rsidP="00313338">
            <w:pPr>
              <w:rPr>
                <w:b/>
                <w:bCs/>
                <w:color w:val="000000" w:themeColor="text1"/>
                <w:sz w:val="24"/>
                <w:szCs w:val="24"/>
              </w:rPr>
            </w:pPr>
          </w:p>
          <w:p w14:paraId="08280548" w14:textId="77777777" w:rsidR="00E573FC" w:rsidRPr="00E50D70" w:rsidRDefault="00E573FC" w:rsidP="00313338">
            <w:pPr>
              <w:rPr>
                <w:b/>
                <w:bCs/>
                <w:color w:val="000000" w:themeColor="text1"/>
                <w:sz w:val="24"/>
                <w:szCs w:val="24"/>
              </w:rPr>
            </w:pPr>
          </w:p>
          <w:p w14:paraId="025F6291" w14:textId="77777777" w:rsidR="00E573FC" w:rsidRPr="00E50D70" w:rsidRDefault="00E573FC" w:rsidP="00313338">
            <w:pPr>
              <w:rPr>
                <w:b/>
                <w:bCs/>
                <w:color w:val="000000" w:themeColor="text1"/>
                <w:sz w:val="24"/>
                <w:szCs w:val="24"/>
              </w:rPr>
            </w:pPr>
          </w:p>
          <w:p w14:paraId="20550C20" w14:textId="77777777" w:rsidR="00E573FC" w:rsidRPr="008375BC" w:rsidRDefault="00E573FC" w:rsidP="00313338">
            <w:pPr>
              <w:rPr>
                <w:b/>
                <w:bCs/>
                <w:color w:val="000000" w:themeColor="text1"/>
                <w:sz w:val="24"/>
                <w:szCs w:val="24"/>
              </w:rPr>
              <w:spacing w:line="375" w:lineRule="atLeast" w:after="120" w:before="120"/>
            </w:pPr>
            <w:r>
              <w:rPr>
                <w:rFonts w:ascii="Aptos" w:hAnsi="Aptos"/>
                <w:b/>
                <w:color w:val="000000"/>
                <w:sz w:val="24"/>
              </w:rPr>
              <w:t>Requisitos no funcionales (transversales a ambos módulos)</w:t>
            </w:r>
          </w:p>
          <w:p w14:paraId="79BEEAFC" w14:textId="77777777" w:rsidR="00E573FC" w:rsidRPr="00E50D70" w:rsidRDefault="00E573FC" w:rsidP="00313338">
            <w:pPr>
              <w:rPr>
                <w:color w:val="000000" w:themeColor="text1"/>
                <w:sz w:val="24"/>
                <w:szCs w:val="24"/>
              </w:rPr>
            </w:pPr>
          </w:p>
          <w:tbl>
            <w:tblPr>
              <w:tblStyle w:val="Tablaconcuadrcula"/>
              <w:tblW w:w="9296" w:type="dxa"/>
              <w:tblLook w:val="04A0" w:firstRow="1" w:lastRow="0" w:firstColumn="1" w:lastColumn="0" w:noHBand="0" w:noVBand="1"/>
            </w:tblPr>
            <w:tblGrid>
              <w:gridCol w:w="738"/>
              <w:gridCol w:w="2958"/>
              <w:gridCol w:w="5600"/>
            </w:tblGrid>
            <w:tr w:rsidR="00E573FC" w:rsidRPr="00E50D70" w14:paraId="0F89974B" w14:textId="77777777" w:rsidTr="00313338">
              <w:trPr>
                <w:trHeight w:val="371" w:hRule="atLeast"/>
              </w:trPr>
              <w:tc>
                <w:tcPr>
                  <w:hideMark/>
                  <w:tcW w:w="907" w:type="dxa"/>
                  <w:tcMar>
                    <w:top w:w="80" w:type="dxa"/>
                    <w:bottom w:w="80" w:type="dxa"/>
                    <w:left w:w="120" w:type="dxa"/>
                    <w:right w:w="120" w:type="dxa"/>
                  </w:tcMar>
                  <w:shd w:fill="D1D1D1"/>
                </w:tcPr>
                <w:p w14:paraId="2C49C1B4" w14:textId="77777777" w:rsidR="00E573FC" w:rsidRPr="00E50D70" w:rsidRDefault="00E573FC" w:rsidP="00313338">
                  <w:pPr>
                    <w:jc w:val="left"/>
                    <w:rPr>
                      <w:color w:val="000000" w:themeColor="text1"/>
                      <w:sz w:val="24"/>
                      <w:szCs w:val="24"/>
                    </w:rPr>
                    <w:spacing w:line="375" w:lineRule="atLeast" w:after="0" w:before="0"/>
                  </w:pPr>
                  <w:r/>
                  <w:r>
                    <w:rPr>
                      <w:rFonts w:ascii="Aptos" w:hAnsi="Aptos"/>
                      <w:b/>
                      <w:color w:val="000000"/>
                      <w:sz w:val="24"/>
                    </w:rPr>
                    <w:t>N°</w:t>
                  </w:r>
                </w:p>
              </w:tc>
              <w:tc>
                <w:tcPr>
                  <w:hideMark/>
                  <w:tcW w:w="2495" w:type="dxa"/>
                  <w:tcMar>
                    <w:top w:w="80" w:type="dxa"/>
                    <w:bottom w:w="80" w:type="dxa"/>
                    <w:left w:w="120" w:type="dxa"/>
                    <w:right w:w="120" w:type="dxa"/>
                  </w:tcMar>
                  <w:shd w:fill="D1D1D1"/>
                </w:tcPr>
                <w:p w14:paraId="2498EF7B" w14:textId="77777777" w:rsidR="00E573FC" w:rsidRPr="00E50D70" w:rsidRDefault="00E573FC" w:rsidP="00313338">
                  <w:pPr>
                    <w:jc w:val="left"/>
                    <w:rPr>
                      <w:color w:val="000000" w:themeColor="text1"/>
                      <w:sz w:val="24"/>
                      <w:szCs w:val="24"/>
                    </w:rPr>
                    <w:spacing w:line="375" w:lineRule="atLeast" w:after="0" w:before="0"/>
                  </w:pPr>
                  <w:r/>
                  <w:r>
                    <w:rPr>
                      <w:rFonts w:ascii="Aptos" w:hAnsi="Aptos"/>
                      <w:b/>
                      <w:color w:val="000000"/>
                      <w:sz w:val="24"/>
                    </w:rPr>
                    <w:t>Requerimiento</w:t>
                  </w:r>
                </w:p>
              </w:tc>
              <w:tc>
                <w:tcPr>
                  <w:hideMark/>
                  <w:tcW w:w="5102" w:type="dxa"/>
                  <w:tcMar>
                    <w:top w:w="80" w:type="dxa"/>
                    <w:bottom w:w="80" w:type="dxa"/>
                    <w:left w:w="120" w:type="dxa"/>
                    <w:right w:w="120" w:type="dxa"/>
                  </w:tcMar>
                  <w:shd w:fill="D1D1D1"/>
                </w:tcPr>
                <w:p w14:paraId="1A281A67" w14:textId="77777777" w:rsidR="00E573FC" w:rsidRPr="00E50D70" w:rsidRDefault="00E573FC" w:rsidP="00313338">
                  <w:pPr>
                    <w:jc w:val="left"/>
                    <w:rPr>
                      <w:color w:val="000000" w:themeColor="text1"/>
                      <w:sz w:val="24"/>
                      <w:szCs w:val="24"/>
                    </w:rPr>
                    <w:spacing w:line="375" w:lineRule="atLeast" w:after="0" w:before="0"/>
                  </w:pPr>
                  <w:r/>
                  <w:r>
                    <w:rPr>
                      <w:rFonts w:ascii="Aptos" w:hAnsi="Aptos"/>
                      <w:b/>
                      <w:color w:val="000000"/>
                      <w:sz w:val="24"/>
                    </w:rPr>
                    <w:t>Descripción</w:t>
                  </w:r>
                </w:p>
              </w:tc>
            </w:tr>
            <w:tr w:rsidR="00E573FC" w:rsidRPr="00E50D70" w14:paraId="05C9EC77" w14:textId="77777777" w:rsidTr="00313338">
              <w:trPr>
                <w:trHeight w:val="340" w:hRule="atLeast"/>
              </w:trPr>
              <w:tc>
                <w:tcPr>
                  <w:hideMark/>
                  <w:tcW w:w="907" w:type="dxa"/>
                  <w:tcMar>
                    <w:top w:w="80" w:type="dxa"/>
                    <w:bottom w:w="80" w:type="dxa"/>
                    <w:left w:w="120" w:type="dxa"/>
                    <w:right w:w="120" w:type="dxa"/>
                  </w:tcMar>
                </w:tcPr>
                <w:p w14:paraId="2C7DE2BA"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RNF1</w:t>
                  </w:r>
                </w:p>
              </w:tc>
              <w:tc>
                <w:tcPr>
                  <w:hideMark/>
                  <w:tcW w:w="2495" w:type="dxa"/>
                  <w:tcMar>
                    <w:top w:w="80" w:type="dxa"/>
                    <w:bottom w:w="80" w:type="dxa"/>
                    <w:left w:w="120" w:type="dxa"/>
                    <w:right w:w="120" w:type="dxa"/>
                  </w:tcMar>
                </w:tcPr>
                <w:p w14:paraId="746FC22C"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Procesamiento eficiente y concurrencia asíncrona no bloqueante</w:t>
                  </w:r>
                </w:p>
              </w:tc>
              <w:tc>
                <w:tcPr>
                  <w:hideMark/>
                  <w:tcW w:w="5102" w:type="dxa"/>
                  <w:tcMar>
                    <w:top w:w="80" w:type="dxa"/>
                    <w:bottom w:w="80" w:type="dxa"/>
                    <w:left w:w="120" w:type="dxa"/>
                    <w:right w:w="120" w:type="dxa"/>
                  </w:tcMar>
                </w:tcPr>
                <w:p w14:paraId="7E79128F"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El sistema ejecutará las consultas masivas a SUNAT de manera totalmente asíncrona mediante asyncio y FastAPI, gestionando semáforos de concurrencia y conexiones desacopladas a la base de datos para garantizar alta disponibilidad.</w:t>
                  </w:r>
                </w:p>
              </w:tc>
            </w:tr>
            <w:tr w:rsidR="00E573FC" w:rsidRPr="00E50D70" w14:paraId="56B8AA2D" w14:textId="77777777" w:rsidTr="00313338">
              <w:trPr>
                <w:trHeight w:val="340" w:hRule="atLeast"/>
              </w:trPr>
              <w:tc>
                <w:tcPr>
                  <w:hideMark/>
                  <w:tcW w:w="907" w:type="dxa"/>
                  <w:tcMar>
                    <w:top w:w="80" w:type="dxa"/>
                    <w:bottom w:w="80" w:type="dxa"/>
                    <w:left w:w="120" w:type="dxa"/>
                    <w:right w:w="120" w:type="dxa"/>
                  </w:tcMar>
                </w:tcPr>
                <w:p w14:paraId="2E815617"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RNF2</w:t>
                  </w:r>
                </w:p>
              </w:tc>
              <w:tc>
                <w:tcPr>
                  <w:hideMark/>
                  <w:tcW w:w="2495" w:type="dxa"/>
                  <w:tcMar>
                    <w:top w:w="80" w:type="dxa"/>
                    <w:bottom w:w="80" w:type="dxa"/>
                    <w:left w:w="120" w:type="dxa"/>
                    <w:right w:w="120" w:type="dxa"/>
                  </w:tcMar>
                </w:tcPr>
                <w:p w14:paraId="32D0876C"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Seguridad perimetral, autenticación JWT y multitenancy estricto</w:t>
                  </w:r>
                </w:p>
              </w:tc>
              <w:tc>
                <w:tcPr>
                  <w:hideMark/>
                  <w:tcW w:w="5102" w:type="dxa"/>
                  <w:tcMar>
                    <w:top w:w="80" w:type="dxa"/>
                    <w:bottom w:w="80" w:type="dxa"/>
                    <w:left w:w="120" w:type="dxa"/>
                    <w:right w:w="120" w:type="dxa"/>
                  </w:tcMar>
                </w:tcPr>
                <w:p w14:paraId="04E816A0"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El acceso estará resguardado mediante JWT y roles de usuario. El sistema aislará las credenciales OAuth2 por empresa, mantendrá los secretos en variables de entorno seguras y sanitizará los logs para evitar fuga de tokens.</w:t>
                  </w:r>
                </w:p>
              </w:tc>
            </w:tr>
            <w:tr w:rsidR="00E573FC" w:rsidRPr="00E50D70" w14:paraId="6C736169" w14:textId="77777777" w:rsidTr="00313338">
              <w:trPr>
                <w:trHeight w:val="340" w:hRule="atLeast"/>
              </w:trPr>
              <w:tc>
                <w:tcPr>
                  <w:hideMark/>
                  <w:tcW w:w="907" w:type="dxa"/>
                  <w:tcMar>
                    <w:top w:w="80" w:type="dxa"/>
                    <w:bottom w:w="80" w:type="dxa"/>
                    <w:left w:w="120" w:type="dxa"/>
                    <w:right w:w="120" w:type="dxa"/>
                  </w:tcMar>
                </w:tcPr>
                <w:p w14:paraId="05656714"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RNF3</w:t>
                  </w:r>
                </w:p>
              </w:tc>
              <w:tc>
                <w:tcPr>
                  <w:hideMark/>
                  <w:tcW w:w="2495" w:type="dxa"/>
                  <w:tcMar>
                    <w:top w:w="80" w:type="dxa"/>
                    <w:bottom w:w="80" w:type="dxa"/>
                    <w:left w:w="120" w:type="dxa"/>
                    <w:right w:w="120" w:type="dxa"/>
                  </w:tcMar>
                </w:tcPr>
                <w:p w14:paraId="1E301EDE"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Integridad de datos, idempotencia y prevención de duplicados</w:t>
                  </w:r>
                </w:p>
              </w:tc>
              <w:tc>
                <w:tcPr>
                  <w:hideMark/>
                  <w:tcW w:w="5102" w:type="dxa"/>
                  <w:tcMar>
                    <w:top w:w="80" w:type="dxa"/>
                    <w:bottom w:w="80" w:type="dxa"/>
                    <w:left w:w="120" w:type="dxa"/>
                    <w:right w:w="120" w:type="dxa"/>
                  </w:tcMar>
                </w:tcPr>
                <w:p w14:paraId="371CF1C2"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El sistema aplicará control de idempotencia para transacciones masivas mediante claves únicas, garantizando que un lote no se duplique por reintentos de red y asegurando la consistencia relacional en PostgreSQL.</w:t>
                  </w:r>
                </w:p>
              </w:tc>
            </w:tr>
            <w:tr w:rsidR="00E573FC" w:rsidRPr="00E50D70" w14:paraId="36E3FC29" w14:textId="77777777" w:rsidTr="00313338">
              <w:trPr>
                <w:trHeight w:val="340" w:hRule="atLeast"/>
              </w:trPr>
              <w:tc>
                <w:tcPr>
                  <w:hideMark/>
                  <w:tcW w:w="907" w:type="dxa"/>
                  <w:tcMar>
                    <w:top w:w="80" w:type="dxa"/>
                    <w:bottom w:w="80" w:type="dxa"/>
                    <w:left w:w="120" w:type="dxa"/>
                    <w:right w:w="120" w:type="dxa"/>
                  </w:tcMar>
                </w:tcPr>
                <w:p w14:paraId="216CF35B"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RNF4</w:t>
                  </w:r>
                </w:p>
              </w:tc>
              <w:tc>
                <w:tcPr>
                  <w:hideMark/>
                  <w:tcW w:w="2495" w:type="dxa"/>
                  <w:tcMar>
                    <w:top w:w="80" w:type="dxa"/>
                    <w:bottom w:w="80" w:type="dxa"/>
                    <w:left w:w="120" w:type="dxa"/>
                    <w:right w:w="120" w:type="dxa"/>
                  </w:tcMar>
                </w:tcPr>
                <w:p w14:paraId="6BC0A76C"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Disponibilidad, resiliencia y tolerancia a fallos transitorios</w:t>
                  </w:r>
                </w:p>
              </w:tc>
              <w:tc>
                <w:tcPr>
                  <w:hideMark/>
                  <w:tcW w:w="5102" w:type="dxa"/>
                  <w:tcMar>
                    <w:top w:w="80" w:type="dxa"/>
                    <w:bottom w:w="80" w:type="dxa"/>
                    <w:left w:w="120" w:type="dxa"/>
                    <w:right w:w="120" w:type="dxa"/>
                  </w:tcMar>
                </w:tcPr>
                <w:p w14:paraId="58E3D15F"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El sistema implementará una política de reintentos con renovación automática ante expiración de tokens (HTTP 401) y tolerancia a fallos de red, garantizando que la caída de un comprobante no detenga el lote.</w:t>
                  </w:r>
                </w:p>
              </w:tc>
            </w:tr>
            <w:tr w:rsidR="00E573FC" w:rsidRPr="00E50D70" w14:paraId="39C37DC0" w14:textId="77777777" w:rsidTr="00313338">
              <w:trPr>
                <w:trHeight w:val="340" w:hRule="atLeast"/>
              </w:trPr>
              <w:tc>
                <w:tcPr>
                  <w:tcW w:w="907" w:type="dxa"/>
                  <w:tcMar>
                    <w:top w:w="80" w:type="dxa"/>
                    <w:bottom w:w="80" w:type="dxa"/>
                    <w:left w:w="120" w:type="dxa"/>
                    <w:right w:w="120" w:type="dxa"/>
                  </w:tcMar>
                </w:tcPr>
                <w:p w14:paraId="634D71C8" w14:textId="77777777" w:rsidR="00E573FC" w:rsidRDefault="00E573FC" w:rsidP="00313338">
                  <w:pPr>
                    <w:jc w:val="center"/>
                    <w:spacing w:line="350" w:lineRule="atLeast" w:after="0" w:before="0"/>
                  </w:pPr>
                  <w:r/>
                  <w:r>
                    <w:rPr>
                      <w:rFonts w:ascii="Aptos" w:hAnsi="Aptos"/>
                      <w:b w:val="0"/>
                      <w:color w:val="000000"/>
                      <w:sz w:val="22"/>
                    </w:rPr>
                    <w:t>RNF5</w:t>
                  </w:r>
                </w:p>
              </w:tc>
              <w:tc>
                <w:tcPr>
                  <w:tcW w:w="2495" w:type="dxa"/>
                  <w:tcMar>
                    <w:top w:w="80" w:type="dxa"/>
                    <w:bottom w:w="80" w:type="dxa"/>
                    <w:left w:w="120" w:type="dxa"/>
                    <w:right w:w="120" w:type="dxa"/>
                  </w:tcMar>
                </w:tcPr>
                <w:p w14:paraId="2D12EB09" w14:textId="77777777" w:rsidR="00E573FC" w:rsidRDefault="00E573FC" w:rsidP="00313338">
                  <w:pPr>
                    <w:jc w:val="left"/>
                    <w:spacing w:line="350" w:lineRule="atLeast" w:after="0" w:before="0"/>
                  </w:pPr>
                  <w:r/>
                  <w:r>
                    <w:rPr>
                      <w:rFonts w:ascii="Aptos" w:hAnsi="Aptos"/>
                      <w:b w:val="0"/>
                      <w:color w:val="000000"/>
                      <w:sz w:val="22"/>
                    </w:rPr>
                    <w:t>Usabilidad, claridad visual y experiencia de usuario adaptativa</w:t>
                  </w:r>
                </w:p>
              </w:tc>
              <w:tc>
                <w:tcPr>
                  <w:tcW w:w="5102" w:type="dxa"/>
                  <w:tcMar>
                    <w:top w:w="80" w:type="dxa"/>
                    <w:bottom w:w="80" w:type="dxa"/>
                    <w:left w:w="120" w:type="dxa"/>
                    <w:right w:w="120" w:type="dxa"/>
                  </w:tcMar>
                </w:tcPr>
                <w:p w14:paraId="49CF88E4" w14:textId="77777777" w:rsidR="00E573FC" w:rsidRDefault="00E573FC" w:rsidP="00313338">
                  <w:pPr>
                    <w:jc w:val="left"/>
                    <w:spacing w:line="350" w:lineRule="atLeast" w:after="0" w:before="0"/>
                  </w:pPr>
                  <w:r/>
                  <w:r>
                    <w:rPr>
                      <w:rFonts w:ascii="Aptos" w:hAnsi="Aptos"/>
                      <w:b w:val="0"/>
                      <w:color w:val="000000"/>
                      <w:sz w:val="22"/>
                    </w:rPr>
                    <w:t>La interfaz presentará barras de avance dinámicas en tiempo real, contadores reactivos de estados (válido, no válido, observado, error) y herramientas de consulta rápida que optimicen la auditoría tributaria.</w:t>
                  </w:r>
                </w:p>
              </w:tc>
            </w:tr>
            <w:tr w:rsidR="00E573FC" w:rsidRPr="00E50D70" w14:paraId="43B8A36F" w14:textId="77777777" w:rsidTr="00313338">
              <w:trPr>
                <w:trHeight w:val="340" w:hRule="atLeast"/>
              </w:trPr>
              <w:tc>
                <w:tcPr>
                  <w:hideMark/>
                  <w:tcW w:w="907" w:type="dxa"/>
                  <w:tcMar>
                    <w:top w:w="80" w:type="dxa"/>
                    <w:bottom w:w="80" w:type="dxa"/>
                    <w:left w:w="120" w:type="dxa"/>
                    <w:right w:w="120" w:type="dxa"/>
                  </w:tcMar>
                </w:tcPr>
                <w:p w14:paraId="1BBC104F" w14:textId="77777777" w:rsidR="00E573FC" w:rsidRPr="00E50D70" w:rsidRDefault="00E573FC" w:rsidP="00313338">
                  <w:pPr>
                    <w:jc w:val="center"/>
                    <w:rPr>
                      <w:color w:val="000000" w:themeColor="text1"/>
                      <w:sz w:val="24"/>
                      <w:szCs w:val="24"/>
                    </w:rPr>
                    <w:spacing w:line="350" w:lineRule="atLeast" w:after="0" w:before="0"/>
                  </w:pPr>
                  <w:r/>
                  <w:r>
                    <w:rPr>
                      <w:rFonts w:ascii="Aptos" w:hAnsi="Aptos"/>
                      <w:b w:val="0"/>
                      <w:color w:val="000000"/>
                      <w:sz w:val="22"/>
                    </w:rPr>
                    <w:t>RNF6</w:t>
                  </w:r>
                </w:p>
              </w:tc>
              <w:tc>
                <w:tcPr>
                  <w:hideMark/>
                  <w:tcW w:w="2495" w:type="dxa"/>
                  <w:tcMar>
                    <w:top w:w="80" w:type="dxa"/>
                    <w:bottom w:w="80" w:type="dxa"/>
                    <w:left w:w="120" w:type="dxa"/>
                    <w:right w:w="120" w:type="dxa"/>
                  </w:tcMar>
                </w:tcPr>
                <w:p w14:paraId="18CA6D36"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Trazabilidad, auditoría inmutable y protección contra inyecciones</w:t>
                  </w:r>
                </w:p>
              </w:tc>
              <w:tc>
                <w:tcPr>
                  <w:hideMark/>
                  <w:tcW w:w="5102" w:type="dxa"/>
                  <w:tcMar>
                    <w:top w:w="80" w:type="dxa"/>
                    <w:bottom w:w="80" w:type="dxa"/>
                    <w:left w:w="120" w:type="dxa"/>
                    <w:right w:w="120" w:type="dxa"/>
                  </w:tcMar>
                </w:tcPr>
                <w:p w14:paraId="28CC612C" w14:textId="77777777" w:rsidR="00E573FC" w:rsidRPr="00E50D70" w:rsidRDefault="00E573FC" w:rsidP="00313338">
                  <w:pPr>
                    <w:jc w:val="left"/>
                    <w:rPr>
                      <w:color w:val="000000" w:themeColor="text1"/>
                      <w:sz w:val="24"/>
                      <w:szCs w:val="24"/>
                    </w:rPr>
                    <w:spacing w:line="350" w:lineRule="atLeast" w:after="0" w:before="0"/>
                  </w:pPr>
                  <w:r/>
                  <w:r>
                    <w:rPr>
                      <w:rFonts w:ascii="Aptos" w:hAnsi="Aptos"/>
                      <w:b w:val="0"/>
                      <w:color w:val="000000"/>
                      <w:sz w:val="22"/>
                    </w:rPr>
                    <w:t>Se mantendrá un registro inmutable de auditoría para cada consulta y reintento, y se aplicará protección contra vulnerabilidades de inyección de fórmulas (Formula Injection) en los reportes Excel descargables.</w:t>
                  </w:r>
                </w:p>
              </w:tc>
            </w:tr>
          </w:tbl>
          <w:p w14:paraId="1D62B9FC" w14:textId="77777777" w:rsidR="00E573FC" w:rsidRPr="00E50D70" w:rsidRDefault="00E573FC" w:rsidP="00313338">
            <w:pPr>
              <w:spacing w:line="375" w:lineRule="atLeast"/>
              <w:rPr>
                <w:color w:val="000000" w:themeColor="text1"/>
                <w:sz w:val="24"/>
                <w:szCs w:val="24"/>
                <w:lang w:eastAsia="es-ES"/>
              </w:rPr>
            </w:pPr>
          </w:p>
        </w:tc>
      </w:tr>
      <w:tr w:rsidR="00E573FC" w:rsidRPr="00E50D70" w14:paraId="54D20DDF" w14:textId="77777777" w:rsidTr="00313338">
        <w:trPr>
          <w:trHeight w:val="1270"/>
        </w:trPr>
        <w:tc>
          <w:tcPr>
            <w:tcW w:w="0" w:type="auto"/>
            <w:gridSpan w:val="2"/>
          </w:tcPr>
          <w:p w14:paraId="77F6DEE6" w14:textId="77777777" w:rsidR="00E573FC" w:rsidRPr="00E50D70" w:rsidRDefault="00E573FC" w:rsidP="00313338">
            <w:pPr>
              <w:spacing w:line="375" w:lineRule="atLeast"/>
              <w:jc w:val="center"/>
              <w:rPr>
                <w:b/>
                <w:bCs/>
                <w:color w:val="000000" w:themeColor="text1"/>
                <w:sz w:val="24"/>
                <w:szCs w:val="24"/>
                <w:lang w:eastAsia="es-ES"/>
              </w:rPr>
            </w:pPr>
            <w:r w:rsidRPr="008375BC">
              <w:rPr>
                <w:b/>
                <w:bCs/>
                <w:color w:val="000000" w:themeColor="text1"/>
                <w:sz w:val="24"/>
                <w:szCs w:val="24"/>
                <w:lang w:eastAsia="es-ES"/>
              </w:rPr>
              <w:lastRenderedPageBreak/>
              <w:t>Firmas de aprobación del acta de constitución</w:t>
            </w:r>
          </w:p>
        </w:tc>
      </w:tr>
      <w:tr w:rsidR="00E573FC" w:rsidRPr="00E50D70" w14:paraId="0720CF8D" w14:textId="77777777" w:rsidTr="00313338">
        <w:trPr>
          <w:trHeight w:val="1270"/>
        </w:trPr>
        <w:tc>
          <w:tcPr>
            <w:tcW w:w="0" w:type="auto"/>
            <w:gridSpan w:val="2"/>
          </w:tcPr>
          <w:p w14:paraId="196B08A5" w14:textId="77777777" w:rsidR="00E573FC" w:rsidRDefault="00E573FC" w:rsidP="00313338"/>
          <w:p w14:paraId="3A37533F" w14:textId="77777777" w:rsidR="00E573FC" w:rsidRDefault="00E573FC" w:rsidP="00313338"/>
          <w:tbl>
            <w:tblPr>
              <w:tblStyle w:val="Tablaconcuadrcula"/>
              <w:tblW w:w="0" w:type="auto"/>
              <w:tblLook w:val="04A0" w:firstRow="1" w:lastRow="0" w:firstColumn="1" w:lastColumn="0" w:noHBand="0" w:noVBand="1"/>
            </w:tblPr>
            <w:tblGrid>
              <w:gridCol w:w="4648"/>
              <w:gridCol w:w="4648"/>
            </w:tblGrid>
            <w:tr w:rsidR="00E573FC" w14:paraId="3F8968CF" w14:textId="77777777" w:rsidTr="00313338">
              <w:trPr>
                <w:trHeight w:val="805"/>
              </w:trPr>
              <w:tc>
                <w:tcPr>
                  <w:tcW w:w="4648" w:type="dxa"/>
                </w:tcPr>
                <w:p w14:paraId="77815F4A" w14:textId="77777777" w:rsidR="00E573FC" w:rsidRDefault="00E573FC" w:rsidP="00313338">
                  <w:pPr>
                    <w:spacing w:line="375" w:lineRule="atLeast"/>
                    <w:rPr>
                      <w:color w:val="000000" w:themeColor="text1"/>
                      <w:sz w:val="24"/>
                      <w:szCs w:val="24"/>
                      <w:lang w:eastAsia="es-ES"/>
                    </w:rPr>
                  </w:pPr>
                  <w:r>
                    <w:rPr>
                      <w:noProof/>
                    </w:rPr>
                    <w:lastRenderedPageBreak/>
                    <w:drawing>
                      <wp:inline distT="0" distB="0" distL="0" distR="0" wp14:anchorId="2B6C9BC8" wp14:editId="00A12013">
                        <wp:extent cx="2727960" cy="1028497"/>
                        <wp:effectExtent l="0" t="0" r="0" b="635"/>
                        <wp:docPr id="14158009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54314" cy="1038433"/>
                                </a:xfrm>
                                <a:prstGeom prst="rect">
                                  <a:avLst/>
                                </a:prstGeom>
                                <a:noFill/>
                                <a:ln>
                                  <a:noFill/>
                                </a:ln>
                              </pic:spPr>
                            </pic:pic>
                          </a:graphicData>
                        </a:graphic>
                      </wp:inline>
                    </w:drawing>
                  </w:r>
                </w:p>
              </w:tc>
              <w:tc>
                <w:tcPr>
                  <w:tcW w:w="4648" w:type="dxa"/>
                </w:tcPr>
                <w:p w14:paraId="39319E0F" w14:textId="77777777" w:rsidR="00E573FC" w:rsidRDefault="00E573FC" w:rsidP="00313338">
                  <w:pPr>
                    <w:spacing w:line="375" w:lineRule="atLeast"/>
                    <w:rPr>
                      <w:color w:val="000000" w:themeColor="text1"/>
                      <w:sz w:val="24"/>
                      <w:szCs w:val="24"/>
                      <w:lang w:eastAsia="es-ES"/>
                    </w:rPr>
                  </w:pPr>
                  <w:r>
                    <w:rPr>
                      <w:noProof/>
                    </w:rPr>
                    <w:drawing>
                      <wp:anchor distT="0" distB="0" distL="114300" distR="114300" simplePos="0" relativeHeight="251660288" behindDoc="1" locked="0" layoutInCell="1" allowOverlap="1" wp14:anchorId="40583944" wp14:editId="1399C0AC">
                        <wp:simplePos x="0" y="0"/>
                        <wp:positionH relativeFrom="column">
                          <wp:posOffset>503555</wp:posOffset>
                        </wp:positionH>
                        <wp:positionV relativeFrom="paragraph">
                          <wp:posOffset>125095</wp:posOffset>
                        </wp:positionV>
                        <wp:extent cx="1470660" cy="846550"/>
                        <wp:effectExtent l="0" t="0" r="0" b="0"/>
                        <wp:wrapNone/>
                        <wp:docPr id="1019941542" name="Imagen 101994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798" cy="84835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E573FC" w14:paraId="1F96BC95" w14:textId="77777777" w:rsidTr="00313338">
              <w:trPr>
                <w:trHeight w:val="805"/>
              </w:trPr>
              <w:tc>
                <w:tcPr>
                  <w:tcW w:w="4648" w:type="dxa"/>
                </w:tcPr>
                <w:p w14:paraId="1586B25B" w14:textId="77777777" w:rsidR="00E573FC" w:rsidRDefault="00E573FC" w:rsidP="00313338">
                  <w:pPr>
                    <w:jc w:val="center"/>
                    <w:rPr>
                      <w:b/>
                      <w:bCs/>
                      <w:color w:val="000000" w:themeColor="text1"/>
                      <w:sz w:val="24"/>
                      <w:szCs w:val="24"/>
                      <w:lang w:eastAsia="es-ES"/>
                    </w:rPr>
                    <w:spacing w:line="360" w:lineRule="atLeast" w:after="0" w:before="0"/>
                  </w:pPr>
                  <w:r/>
                  <w:r>
                    <w:rPr>
                      <w:rFonts w:ascii="Aptos" w:hAnsi="Aptos"/>
                      <w:b/>
                      <w:color w:val="000000"/>
                      <w:sz w:val="20"/>
                    </w:rPr>
                    <w:t>Apellidos y nombre de Gerente de operación de la empresa</w:t>
                    <w:br/>
                    <w:t>Jeisser Julón Irigoin</w:t>
                  </w:r>
                </w:p>
              </w:tc>
              <w:tc>
                <w:tcPr>
                  <w:tcW w:w="4648" w:type="dxa"/>
                </w:tcPr>
                <w:p w14:paraId="03DE8B38" w14:textId="77777777" w:rsidR="00E573FC" w:rsidRDefault="00E573FC" w:rsidP="00313338">
                  <w:pPr>
                    <w:jc w:val="center"/>
                    <w:rPr>
                      <w:b/>
                      <w:bCs/>
                      <w:color w:val="000000" w:themeColor="text1"/>
                      <w:sz w:val="24"/>
                      <w:szCs w:val="24"/>
                      <w:lang w:eastAsia="es-ES"/>
                    </w:rPr>
                    <w:spacing w:line="360" w:lineRule="atLeast" w:after="0" w:before="0"/>
                  </w:pPr>
                  <w:r/>
                  <w:r>
                    <w:rPr>
                      <w:rFonts w:ascii="Aptos" w:hAnsi="Aptos"/>
                      <w:b/>
                      <w:color w:val="000000"/>
                      <w:sz w:val="20"/>
                    </w:rPr>
                    <w:t>Apellidos y nombre de Practicante USS</w:t>
                    <w:br/>
                    <w:t>Delgado Bustamante Henry Jhulino</w:t>
                  </w:r>
                </w:p>
              </w:tc>
            </w:tr>
          </w:tbl>
          <w:p w14:paraId="74CD6822" w14:textId="77777777" w:rsidR="00E573FC" w:rsidRPr="008375BC" w:rsidRDefault="00E573FC" w:rsidP="00313338">
            <w:pPr>
              <w:spacing w:line="375" w:lineRule="atLeast"/>
              <w:rPr>
                <w:b/>
                <w:bCs/>
                <w:color w:val="000000" w:themeColor="text1"/>
                <w:sz w:val="24"/>
                <w:szCs w:val="24"/>
                <w:lang w:eastAsia="es-ES"/>
              </w:rPr>
            </w:pPr>
          </w:p>
        </w:tc>
      </w:tr>
      <w:bookmarkEnd w:id="6"/>
    </w:tbl>
    <w:p w14:paraId="10C6F69E" w14:textId="77777777" w:rsidR="00E573FC" w:rsidRPr="00EB18EA" w:rsidRDefault="00E573FC" w:rsidP="00E573FC">
      <w:pPr>
        <w:spacing w:line="360" w:lineRule="auto"/>
        <w:jc w:val="both"/>
        <w:rPr>
          <w:color w:val="000000" w:themeColor="text1"/>
          <w:sz w:val="24"/>
          <w:szCs w:val="24"/>
        </w:rPr>
        <w:sectPr w:rsidR="00E573FC" w:rsidRPr="00EB18EA" w:rsidSect="00E573FC">
          <w:pgSz w:w="11906" w:h="16838"/>
          <w:pgMar w:top="1417" w:right="1701" w:bottom="1417" w:left="1701" w:header="708" w:footer="708" w:gutter="0"/>
          <w:cols w:space="708"/>
          <w:docGrid w:linePitch="360"/>
        </w:sectPr>
      </w:pPr>
    </w:p>
    <w:p w14:paraId="3BEFCD30" w14:textId="77777777" w:rsidR="00E573FC" w:rsidRDefault="00E573FC" w:rsidP="00E573FC">
      <w:pPr>
        <w:pStyle w:val="Ttulo1"/>
        <w:spacing w:line="360" w:lineRule="auto"/>
        <w:jc w:val="both"/>
        <w:rPr>
          <w:b/>
          <w:bCs/>
          <w:color w:val="000000" w:themeColor="text1"/>
          <w:sz w:val="24"/>
          <w:szCs w:val="24"/>
        </w:rPr>
      </w:pPr>
      <w:bookmarkStart w:id="8" w:name="_Toc241270078"/>
      <w:r w:rsidRPr="00EF19B3">
        <w:rPr>
          <w:b/>
          <w:bCs/>
          <w:color w:val="000000" w:themeColor="text1"/>
          <w:sz w:val="24"/>
          <w:szCs w:val="24"/>
        </w:rPr>
        <w:lastRenderedPageBreak/>
        <w:t xml:space="preserve">3. Modelo del negocio: Lean </w:t>
      </w:r>
      <w:proofErr w:type="spellStart"/>
      <w:r w:rsidRPr="00EF19B3">
        <w:rPr>
          <w:b/>
          <w:bCs/>
          <w:color w:val="000000" w:themeColor="text1"/>
          <w:sz w:val="24"/>
          <w:szCs w:val="24"/>
        </w:rPr>
        <w:t>Canvas</w:t>
      </w:r>
      <w:proofErr w:type="spellEnd"/>
      <w:r w:rsidRPr="00EF19B3">
        <w:rPr>
          <w:b/>
          <w:bCs/>
          <w:color w:val="000000" w:themeColor="text1"/>
          <w:sz w:val="24"/>
          <w:szCs w:val="24"/>
        </w:rPr>
        <w:t xml:space="preserve"> (versión inicial)</w:t>
      </w:r>
      <w:bookmarkEnd w:id="8"/>
    </w:p>
    <w:p w14:paraId="799F7058" w14:textId="77777777" w:rsidR="00E573FC" w:rsidRDefault="00E573FC" w:rsidP="00E573FC">
      <w:pPr>
        <w:spacing w:line="360" w:lineRule="auto"/>
        <w:jc w:val="both"/>
      </w:pPr>
      <w:hyperlink r:id="rId6" w:history="1">
        <w:r w:rsidRPr="0071792D">
          <w:rPr>
            <w:rStyle w:val="Hipervnculo"/>
          </w:rPr>
          <w:t>https://canva.link/ftotdlp3p88hzll</w:t>
        </w:r>
      </w:hyperlink>
    </w:p>
    <w:p w14:paraId="74A5CBDD" w14:textId="77777777" w:rsidR="00E573FC" w:rsidRDefault="00E573FC" w:rsidP="00E573FC">
      <w:pPr>
        <w:spacing w:line="360" w:lineRule="auto"/>
        <w:jc w:val="both"/>
        <w:spacing w:line="360" w:lineRule="atLeast" w:after="140" w:before="60"/>
      </w:pPr>
      <w:r/>
      <w:r>
        <w:rPr>
          <w:rFonts w:ascii="Aptos" w:hAnsi="Aptos"/>
          <w:color w:val="333333"/>
          <w:sz w:val="22"/>
        </w:rPr>
        <w:t>El modelo de negocio Lean Canvas estructurado para DAIRA S.A.C. responde a la necesidad crítica de garantizar la validez fiscal de las adquisiciones de la empresa. Desde la perspectiva del Módulo 2 (Validación SUNAT, Procesamiento y Gestión de Resultados), la solución ataca frontalmente el problema de las consultas lentas e individuales en el portal SOL, la falta de visibilidad sobre proveedores No Habidos o con RUC dado de baja, y el grave riesgo financiero de pérdida del crédito fiscal del IGV ante fiscalizaciones tributarias. La propuesta de valor radica en orquestar validaciones masivas altamente eficientes ante la API oficial de SUNAT con OAuth2, procesar respuestas en tiempo real de forma resiliente, ofrecer analítica visual inmediata y generar reportes oficiales de conciliación en Excel.</w:t>
      </w:r>
    </w:p>
    <w:p w14:paraId="178ACCB5" w14:textId="77777777" w:rsidR="00E573FC" w:rsidRDefault="00E573FC" w:rsidP="00E573FC">
      <w:pPr>
        <w:spacing w:line="360" w:lineRule="auto"/>
        <w:jc w:val="both"/>
        <w:rPr>
          <w:sz w:val="24"/>
          <w:szCs w:val="24"/>
        </w:rPr>
        <w:sectPr w:rsidR="00E573FC" w:rsidSect="00E573FC">
          <w:pgSz w:w="16838" w:h="11906" w:orient="landscape"/>
          <w:pgMar w:top="1276" w:right="1417" w:bottom="1701" w:left="1417" w:header="708" w:footer="708" w:gutter="0"/>
          <w:cols w:space="708"/>
          <w:docGrid w:linePitch="360"/>
        </w:sectPr>
      </w:pPr>
      <w:r>
        <w:rPr>
          <w:noProof/>
        </w:rPr>
        <mc:AlternateContent>
          <mc:Choice Requires="wps">
            <w:drawing>
              <wp:anchor distT="0" distB="0" distL="114300" distR="114300" simplePos="0" relativeHeight="251659264" behindDoc="1" locked="0" layoutInCell="1" allowOverlap="1" wp14:anchorId="0C8132B2" wp14:editId="53829095">
                <wp:simplePos x="0" y="0"/>
                <wp:positionH relativeFrom="margin">
                  <wp:posOffset>205740</wp:posOffset>
                </wp:positionH>
                <wp:positionV relativeFrom="paragraph">
                  <wp:posOffset>4691380</wp:posOffset>
                </wp:positionV>
                <wp:extent cx="4290060" cy="635"/>
                <wp:effectExtent l="0" t="0" r="0" b="8255"/>
                <wp:wrapNone/>
                <wp:docPr id="30" name="Cuadro de texto 30"/>
                <wp:cNvGraphicFramePr/>
                <a:graphic xmlns:a="http://schemas.openxmlformats.org/drawingml/2006/main">
                  <a:graphicData uri="http://schemas.microsoft.com/office/word/2010/wordprocessingShape">
                    <wps:wsp>
                      <wps:cNvSpPr txBox="1"/>
                      <wps:spPr>
                        <a:xfrm>
                          <a:off x="0" y="0"/>
                          <a:ext cx="4290060" cy="635"/>
                        </a:xfrm>
                        <a:prstGeom prst="rect">
                          <a:avLst/>
                        </a:prstGeom>
                        <a:solidFill>
                          <a:prstClr val="white"/>
                        </a:solidFill>
                        <a:ln>
                          <a:noFill/>
                        </a:ln>
                      </wps:spPr>
                      <wps:txbx>
                        <w:txbxContent>
                          <w:p w14:paraId="2F7C0759" w14:textId="77777777" w:rsidR="00E573FC" w:rsidRPr="00943830" w:rsidRDefault="00E573FC" w:rsidP="00E573FC">
                            <w:pPr>
                              <w:pStyle w:val="Descripcin"/>
                              <w:rPr>
                                <w:noProof/>
                                <w:sz w:val="24"/>
                                <w:szCs w:val="24"/>
                              </w:rPr>
                            </w:pPr>
                            <w:bookmarkStart w:id="9" w:name="_Toc241269283"/>
                            <w:r>
                              <w:t xml:space="preserve">Ilustración </w:t>
                            </w:r>
                            <w:r>
                              <w:fldChar w:fldCharType="begin"/>
                            </w:r>
                            <w:r>
                              <w:instrText xml:space="preserve"> SEQ Ilustración \* ARABIC </w:instrText>
                            </w:r>
                            <w:r>
                              <w:fldChar w:fldCharType="separate"/>
                            </w:r>
                            <w:r>
                              <w:rPr>
                                <w:noProof/>
                              </w:rPr>
                              <w:t>8</w:t>
                            </w:r>
                            <w:r>
                              <w:fldChar w:fldCharType="end"/>
                            </w:r>
                            <w:r>
                              <w:t>: Lean Canvas</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C8132B2" id="_x0000_t202" coordsize="21600,21600" o:spt="202" path="m,l,21600r21600,l21600,xe">
                <v:stroke joinstyle="miter"/>
                <v:path gradientshapeok="t" o:connecttype="rect"/>
              </v:shapetype>
              <v:shape id="Cuadro de texto 30" o:spid="_x0000_s1026" type="#_x0000_t202" style="position:absolute;left:0;text-align:left;margin-left:16.2pt;margin-top:369.4pt;width:337.8pt;height:.0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" stroked="f">
                <v:textbox style="mso-fit-shape-to-text:t" inset="0,0,0,0">
                  <w:txbxContent>
                    <w:p w14:paraId="2F7C0759" w14:textId="77777777" w:rsidR="00E573FC" w:rsidRPr="00943830" w:rsidRDefault="00E573FC" w:rsidP="00E573FC">
                      <w:pPr>
                        <w:pStyle w:val="Descripcin"/>
                        <w:rPr>
                          <w:noProof/>
                          <w:sz w:val="24"/>
                          <w:szCs w:val="24"/>
                        </w:rPr>
                      </w:pPr>
                      <w:bookmarkStart w:id="10" w:name="_Toc241269283"/>
                      <w:r>
                        <w:t xml:space="preserve">Ilustración </w:t>
                      </w:r>
                      <w:r>
                        <w:fldChar w:fldCharType="begin"/>
                      </w:r>
                      <w:r>
                        <w:instrText xml:space="preserve"> SEQ Ilustración \* ARABIC </w:instrText>
                      </w:r>
                      <w:r>
                        <w:fldChar w:fldCharType="separate"/>
                      </w:r>
                      <w:r>
                        <w:rPr>
                          <w:noProof/>
                        </w:rPr>
                        <w:t>8</w:t>
                      </w:r>
                      <w:r>
                        <w:fldChar w:fldCharType="end"/>
                      </w:r>
                      <w:r>
                        <w:t>: Lean Canvas</w:t>
                      </w:r>
                      <w:bookmarkEnd w:id="10"/>
                    </w:p>
                  </w:txbxContent>
                </v:textbox>
                <w10:wrap anchorx="margin"/>
              </v:shape>
            </w:pict>
          </mc:Fallback>
        </mc:AlternateContent>
      </w:r>
      <w:r w:rsidRPr="00537218">
        <w:rPr>
          <w:noProof/>
          <w:sz w:val="24"/>
          <w:szCs w:val="24"/>
        </w:rPr>
        <w:drawing>
          <wp:inline distT="0" distB="0" distL="0" distR="0" wp14:anchorId="52F18DA1" wp14:editId="17D329BD">
            <wp:extent cx="8732520" cy="4627880"/>
            <wp:effectExtent l="0" t="0" r="0" b="1270"/>
            <wp:docPr id="1671565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5871" name=""/>
                    <pic:cNvPicPr/>
                  </pic:nvPicPr>
                  <pic:blipFill>
                    <a:blip r:embed="rId7"/>
                    <a:stretch>
                      <a:fillRect/>
                    </a:stretch>
                  </pic:blipFill>
                  <pic:spPr>
                    <a:xfrm>
                      <a:off x="0" y="0"/>
                      <a:ext cx="8744803" cy="4634389"/>
                    </a:xfrm>
                    <a:prstGeom prst="rect">
                      <a:avLst/>
                    </a:prstGeom>
                  </pic:spPr>
                </pic:pic>
              </a:graphicData>
            </a:graphic>
          </wp:inline>
        </w:drawing>
      </w:r>
    </w:p>
    <w:p w14:paraId="42DBF320" w14:textId="77777777" w:rsidR="00E573FC" w:rsidRPr="00F74ACC" w:rsidRDefault="00E573FC" w:rsidP="00E573FC">
      <w:pPr>
        <w:pStyle w:val="Ttulo1"/>
        <w:spacing w:line="360" w:lineRule="auto"/>
        <w:jc w:val="both"/>
        <w:rPr>
          <w:b/>
          <w:bCs/>
          <w:color w:val="000000" w:themeColor="text1"/>
          <w:sz w:val="24"/>
          <w:szCs w:val="24"/>
        </w:rPr>
      </w:pPr>
      <w:bookmarkStart w:id="11" w:name="_Toc241270079"/>
      <w:r w:rsidRPr="00583E6B">
        <w:rPr>
          <w:b/>
          <w:bCs/>
          <w:color w:val="000000" w:themeColor="text1"/>
          <w:sz w:val="24"/>
          <w:szCs w:val="24"/>
        </w:rPr>
        <w:lastRenderedPageBreak/>
        <w:t>4. Cronograma de actividades a realizar en el centro de prácticas</w:t>
      </w:r>
      <w:bookmarkEnd w:id="11"/>
    </w:p>
    <w:p w14:paraId="0B0AF562" w14:textId="77777777" w:rsidR="00E573FC" w:rsidRDefault="00E573FC" w:rsidP="00E573FC">
      <w:pPr>
        <w:pStyle w:val="Descripcin"/>
        <w:keepNext/>
      </w:pPr>
      <w:bookmarkStart w:id="12" w:name="_Toc241270030"/>
      <w:r>
        <w:t xml:space="preserve">Tabla </w:t>
      </w:r>
      <w:r>
        <w:fldChar w:fldCharType="begin"/>
      </w:r>
      <w:r>
        <w:instrText xml:space="preserve"> SEQ Tabla \* ARABIC </w:instrText>
      </w:r>
      <w:r>
        <w:fldChar w:fldCharType="separate"/>
      </w:r>
      <w:r>
        <w:rPr>
          <w:noProof/>
        </w:rPr>
        <w:t>6</w:t>
      </w:r>
      <w:r>
        <w:fldChar w:fldCharType="end"/>
      </w:r>
      <w:r>
        <w:t xml:space="preserve">: </w:t>
      </w:r>
      <w:r w:rsidRPr="00203BFE">
        <w:t>Cronograma de actividades a realizar en el centro de prácticas</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
        <w:gridCol w:w="3092"/>
        <w:gridCol w:w="1263"/>
        <w:gridCol w:w="1371"/>
        <w:gridCol w:w="1855"/>
        <w:gridCol w:w="1472"/>
      </w:tblGrid>
      <w:tr w:rsidR="00E573FC" w:rsidRPr="008375BC" w14:paraId="4F97AE04" w14:textId="77777777" w:rsidTr="00313338">
        <w:trPr>
          <w:trHeight w:val="371" w:hRule="atLeast"/>
        </w:trPr>
        <w:tc>
          <w:tcPr>
            <w:tcW w:w="447" w:type="dxa"/>
            <w:vAlign w:val="center"/>
            <w:tcMar>
              <w:top w:w="70" w:type="dxa"/>
              <w:bottom w:w="70" w:type="dxa"/>
              <w:left w:w="100" w:type="dxa"/>
              <w:right w:w="100" w:type="dxa"/>
            </w:tcMar>
            <w:shd w:fill="404040"/>
          </w:tcPr>
          <w:p w14:paraId="3E747383"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N°</w:t>
            </w:r>
          </w:p>
        </w:tc>
        <w:tc>
          <w:tcPr>
            <w:tcW w:w="3092" w:type="dxa"/>
            <w:vAlign w:val="center"/>
            <w:tcMar>
              <w:top w:w="70" w:type="dxa"/>
              <w:bottom w:w="70" w:type="dxa"/>
              <w:left w:w="100" w:type="dxa"/>
              <w:right w:w="100" w:type="dxa"/>
            </w:tcMar>
            <w:shd w:fill="404040"/>
          </w:tcPr>
          <w:p w14:paraId="14804A4D"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Actividad</w:t>
            </w:r>
          </w:p>
        </w:tc>
        <w:tc>
          <w:tcPr>
            <w:tcW w:w="1263" w:type="dxa"/>
            <w:vAlign w:val="center"/>
            <w:tcMar>
              <w:top w:w="70" w:type="dxa"/>
              <w:bottom w:w="70" w:type="dxa"/>
              <w:left w:w="100" w:type="dxa"/>
              <w:right w:w="100" w:type="dxa"/>
            </w:tcMar>
            <w:shd w:fill="404040"/>
          </w:tcPr>
          <w:p w14:paraId="18AF1A0E"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Fecha de entrega</w:t>
            </w:r>
          </w:p>
        </w:tc>
        <w:tc>
          <w:tcPr>
            <w:tcW w:w="1371" w:type="dxa"/>
            <w:vAlign w:val="center"/>
            <w:tcMar>
              <w:top w:w="70" w:type="dxa"/>
              <w:bottom w:w="70" w:type="dxa"/>
              <w:left w:w="100" w:type="dxa"/>
              <w:right w:w="100" w:type="dxa"/>
            </w:tcMar>
            <w:shd w:fill="404040"/>
          </w:tcPr>
          <w:p w14:paraId="108759C4"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Semana del ciclo académico</w:t>
            </w:r>
          </w:p>
        </w:tc>
        <w:tc>
          <w:tcPr>
            <w:tcW w:w="1855" w:type="dxa"/>
            <w:vAlign w:val="center"/>
            <w:tcMar>
              <w:top w:w="70" w:type="dxa"/>
              <w:bottom w:w="70" w:type="dxa"/>
              <w:left w:w="100" w:type="dxa"/>
              <w:right w:w="100" w:type="dxa"/>
            </w:tcMar>
            <w:shd w:fill="404040"/>
          </w:tcPr>
          <w:p w14:paraId="338B5D0A"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Entregable</w:t>
            </w:r>
          </w:p>
        </w:tc>
        <w:tc>
          <w:tcPr>
            <w:tcW w:w="1472" w:type="dxa"/>
            <w:vAlign w:val="center"/>
            <w:tcMar>
              <w:top w:w="70" w:type="dxa"/>
              <w:bottom w:w="70" w:type="dxa"/>
              <w:left w:w="100" w:type="dxa"/>
              <w:right w:w="100" w:type="dxa"/>
            </w:tcMar>
            <w:shd w:fill="404040"/>
          </w:tcPr>
          <w:p w14:paraId="047D2240" w14:textId="77777777" w:rsidR="00E573FC" w:rsidRPr="008375BC" w:rsidRDefault="00E573FC" w:rsidP="00313338">
            <w:pPr>
              <w:jc w:val="center"/>
              <w:rPr>
                <w:sz w:val="22"/>
                <w:szCs w:val="22"/>
              </w:rPr>
              <w:spacing w:line="360" w:lineRule="atLeast" w:after="0" w:before="0"/>
            </w:pPr>
            <w:r/>
            <w:r>
              <w:rPr>
                <w:rFonts w:ascii="Aptos" w:hAnsi="Aptos"/>
                <w:b/>
                <w:color w:val="FFFFFF"/>
                <w:sz w:val="20"/>
              </w:rPr>
              <w:t>Conformidad de aprobación</w:t>
            </w:r>
          </w:p>
        </w:tc>
      </w:tr>
      <w:tr w:rsidR="00E573FC" w:rsidRPr="008375BC" w14:paraId="1E144306" w14:textId="77777777" w:rsidTr="00313338">
        <w:trPr>
          <w:trHeight w:val="340" w:hRule="atLeast"/>
        </w:trPr>
        <w:tc>
          <w:tcPr>
            <w:tcW w:w="447" w:type="dxa"/>
            <w:vAlign w:val="center"/>
            <w:tcMar>
              <w:top w:w="70" w:type="dxa"/>
              <w:bottom w:w="70" w:type="dxa"/>
              <w:left w:w="100" w:type="dxa"/>
              <w:right w:w="100" w:type="dxa"/>
            </w:tcMar>
          </w:tcPr>
          <w:p w14:paraId="08FBB53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w:t>
            </w:r>
          </w:p>
        </w:tc>
        <w:tc>
          <w:tcPr>
            <w:tcW w:w="3092" w:type="dxa"/>
            <w:vAlign w:val="center"/>
            <w:tcMar>
              <w:top w:w="70" w:type="dxa"/>
              <w:bottom w:w="70" w:type="dxa"/>
              <w:left w:w="100" w:type="dxa"/>
              <w:right w:w="100" w:type="dxa"/>
            </w:tcMar>
          </w:tcPr>
          <w:p w14:paraId="3B637F5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Reuniones iniciales con el supervisor y personal de DAIRA S.A.C. para conocer la empresa, sus áreas y las principales necesidades tecnológicas.</w:t>
            </w:r>
          </w:p>
        </w:tc>
        <w:tc>
          <w:tcPr>
            <w:tcW w:w="1263" w:type="dxa"/>
            <w:vAlign w:val="center"/>
            <w:tcMar>
              <w:top w:w="70" w:type="dxa"/>
              <w:bottom w:w="70" w:type="dxa"/>
              <w:left w:w="100" w:type="dxa"/>
              <w:right w:w="100" w:type="dxa"/>
            </w:tcMar>
          </w:tcPr>
          <w:p w14:paraId="73199C6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07–11 septiembre</w:t>
            </w:r>
          </w:p>
        </w:tc>
        <w:tc>
          <w:tcPr>
            <w:tcW w:w="1371" w:type="dxa"/>
            <w:vAlign w:val="center"/>
            <w:tcMar>
              <w:top w:w="70" w:type="dxa"/>
              <w:bottom w:w="70" w:type="dxa"/>
              <w:left w:w="100" w:type="dxa"/>
              <w:right w:w="100" w:type="dxa"/>
            </w:tcMar>
          </w:tcPr>
          <w:p w14:paraId="3890F24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w:t>
            </w:r>
          </w:p>
        </w:tc>
        <w:tc>
          <w:tcPr>
            <w:tcW w:w="1855" w:type="dxa"/>
            <w:vAlign w:val="center"/>
            <w:tcMar>
              <w:top w:w="70" w:type="dxa"/>
              <w:bottom w:w="70" w:type="dxa"/>
              <w:left w:w="100" w:type="dxa"/>
              <w:right w:w="100" w:type="dxa"/>
            </w:tcMar>
          </w:tcPr>
          <w:p w14:paraId="2BAC75AD"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Registro de reuniones y necesidades iniciales</w:t>
            </w:r>
          </w:p>
        </w:tc>
        <w:tc>
          <w:tcPr>
            <w:tcW w:w="1472" w:type="dxa"/>
            <w:tcMar>
              <w:top w:w="70" w:type="dxa"/>
              <w:bottom w:w="70" w:type="dxa"/>
              <w:left w:w="100" w:type="dxa"/>
              <w:right w:w="100" w:type="dxa"/>
            </w:tcMar>
          </w:tcPr>
          <w:p w14:paraId="122B317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466F2A0C" w14:textId="77777777" w:rsidTr="00313338">
        <w:trPr>
          <w:trHeight w:val="340" w:hRule="atLeast"/>
        </w:trPr>
        <w:tc>
          <w:tcPr>
            <w:tcW w:w="447" w:type="dxa"/>
            <w:vAlign w:val="center"/>
            <w:tcMar>
              <w:top w:w="70" w:type="dxa"/>
              <w:bottom w:w="70" w:type="dxa"/>
              <w:left w:w="100" w:type="dxa"/>
              <w:right w:w="100" w:type="dxa"/>
            </w:tcMar>
          </w:tcPr>
          <w:p w14:paraId="0A5BEC8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w:t>
            </w:r>
          </w:p>
        </w:tc>
        <w:tc>
          <w:tcPr>
            <w:tcW w:w="3092" w:type="dxa"/>
            <w:vAlign w:val="center"/>
            <w:tcMar>
              <w:top w:w="70" w:type="dxa"/>
              <w:bottom w:w="70" w:type="dxa"/>
              <w:left w:w="100" w:type="dxa"/>
              <w:right w:w="100" w:type="dxa"/>
            </w:tcMar>
          </w:tcPr>
          <w:p w14:paraId="038E15D2"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Entrevistas con los colaboradores del área contable e identificación de procesos críticos en la recepción y validación de comprobantes.</w:t>
            </w:r>
          </w:p>
        </w:tc>
        <w:tc>
          <w:tcPr>
            <w:tcW w:w="1263" w:type="dxa"/>
            <w:vAlign w:val="center"/>
            <w:tcMar>
              <w:top w:w="70" w:type="dxa"/>
              <w:bottom w:w="70" w:type="dxa"/>
              <w:left w:w="100" w:type="dxa"/>
              <w:right w:w="100" w:type="dxa"/>
            </w:tcMar>
          </w:tcPr>
          <w:p w14:paraId="7CE7C8C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14–19 septiembre</w:t>
            </w:r>
          </w:p>
        </w:tc>
        <w:tc>
          <w:tcPr>
            <w:tcW w:w="1371" w:type="dxa"/>
            <w:vAlign w:val="center"/>
            <w:tcMar>
              <w:top w:w="70" w:type="dxa"/>
              <w:bottom w:w="70" w:type="dxa"/>
              <w:left w:w="100" w:type="dxa"/>
              <w:right w:w="100" w:type="dxa"/>
            </w:tcMar>
          </w:tcPr>
          <w:p w14:paraId="630EF3B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2</w:t>
            </w:r>
          </w:p>
        </w:tc>
        <w:tc>
          <w:tcPr>
            <w:tcW w:w="1855" w:type="dxa"/>
            <w:vAlign w:val="center"/>
            <w:tcMar>
              <w:top w:w="70" w:type="dxa"/>
              <w:bottom w:w="70" w:type="dxa"/>
              <w:left w:w="100" w:type="dxa"/>
              <w:right w:w="100" w:type="dxa"/>
            </w:tcMar>
          </w:tcPr>
          <w:p w14:paraId="4FA91AA2"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Entrevistas y levantamiento de requerimientos iniciales</w:t>
            </w:r>
          </w:p>
        </w:tc>
        <w:tc>
          <w:tcPr>
            <w:tcW w:w="1472" w:type="dxa"/>
            <w:tcMar>
              <w:top w:w="70" w:type="dxa"/>
              <w:bottom w:w="70" w:type="dxa"/>
              <w:left w:w="100" w:type="dxa"/>
              <w:right w:w="100" w:type="dxa"/>
            </w:tcMar>
          </w:tcPr>
          <w:p w14:paraId="256FA08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26AC2E15" w14:textId="77777777" w:rsidTr="00313338">
        <w:trPr>
          <w:trHeight w:val="340" w:hRule="atLeast"/>
        </w:trPr>
        <w:tc>
          <w:tcPr>
            <w:tcW w:w="447" w:type="dxa"/>
            <w:vAlign w:val="center"/>
            <w:tcMar>
              <w:top w:w="70" w:type="dxa"/>
              <w:bottom w:w="70" w:type="dxa"/>
              <w:left w:w="100" w:type="dxa"/>
              <w:right w:w="100" w:type="dxa"/>
            </w:tcMar>
          </w:tcPr>
          <w:p w14:paraId="31ACEC9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3</w:t>
            </w:r>
          </w:p>
        </w:tc>
        <w:tc>
          <w:tcPr>
            <w:tcW w:w="3092" w:type="dxa"/>
            <w:vAlign w:val="center"/>
            <w:tcMar>
              <w:top w:w="70" w:type="dxa"/>
              <w:bottom w:w="70" w:type="dxa"/>
              <w:left w:w="100" w:type="dxa"/>
              <w:right w:w="100" w:type="dxa"/>
            </w:tcMar>
          </w:tcPr>
          <w:p w14:paraId="51FE5691"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Análisis del proceso actual de compras contables y validación ante SUNAT en DAIRA S.A.C. Definición del alcance del sistema web.</w:t>
            </w:r>
          </w:p>
        </w:tc>
        <w:tc>
          <w:tcPr>
            <w:tcW w:w="1263" w:type="dxa"/>
            <w:vAlign w:val="center"/>
            <w:tcMar>
              <w:top w:w="70" w:type="dxa"/>
              <w:bottom w:w="70" w:type="dxa"/>
              <w:left w:w="100" w:type="dxa"/>
              <w:right w:w="100" w:type="dxa"/>
            </w:tcMar>
          </w:tcPr>
          <w:p w14:paraId="254BEB78"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21–26 septiembre</w:t>
            </w:r>
          </w:p>
        </w:tc>
        <w:tc>
          <w:tcPr>
            <w:tcW w:w="1371" w:type="dxa"/>
            <w:vAlign w:val="center"/>
            <w:tcMar>
              <w:top w:w="70" w:type="dxa"/>
              <w:bottom w:w="70" w:type="dxa"/>
              <w:left w:w="100" w:type="dxa"/>
              <w:right w:w="100" w:type="dxa"/>
            </w:tcMar>
          </w:tcPr>
          <w:p w14:paraId="6C95188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3</w:t>
            </w:r>
          </w:p>
        </w:tc>
        <w:tc>
          <w:tcPr>
            <w:tcW w:w="1855" w:type="dxa"/>
            <w:vAlign w:val="center"/>
            <w:tcMar>
              <w:top w:w="70" w:type="dxa"/>
              <w:bottom w:w="70" w:type="dxa"/>
              <w:left w:w="100" w:type="dxa"/>
              <w:right w:w="100" w:type="dxa"/>
            </w:tcMar>
          </w:tcPr>
          <w:p w14:paraId="2EDC081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Documento de análisis y requerimientos priorizados</w:t>
            </w:r>
          </w:p>
        </w:tc>
        <w:tc>
          <w:tcPr>
            <w:tcW w:w="1472" w:type="dxa"/>
            <w:tcMar>
              <w:top w:w="70" w:type="dxa"/>
              <w:bottom w:w="70" w:type="dxa"/>
              <w:left w:w="100" w:type="dxa"/>
              <w:right w:w="100" w:type="dxa"/>
            </w:tcMar>
          </w:tcPr>
          <w:p w14:paraId="4A2FCBD9"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3B9F9EAD" w14:textId="77777777" w:rsidTr="00313338">
        <w:trPr>
          <w:trHeight w:val="340" w:hRule="atLeast"/>
        </w:trPr>
        <w:tc>
          <w:tcPr>
            <w:tcW w:w="447" w:type="dxa"/>
            <w:vAlign w:val="center"/>
            <w:tcMar>
              <w:top w:w="70" w:type="dxa"/>
              <w:bottom w:w="70" w:type="dxa"/>
              <w:left w:w="100" w:type="dxa"/>
              <w:right w:w="100" w:type="dxa"/>
            </w:tcMar>
          </w:tcPr>
          <w:p w14:paraId="3670A4D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4</w:t>
            </w:r>
          </w:p>
        </w:tc>
        <w:tc>
          <w:tcPr>
            <w:tcW w:w="3092" w:type="dxa"/>
            <w:vAlign w:val="center"/>
            <w:tcMar>
              <w:top w:w="70" w:type="dxa"/>
              <w:bottom w:w="70" w:type="dxa"/>
              <w:left w:w="100" w:type="dxa"/>
              <w:right w:w="100" w:type="dxa"/>
            </w:tcMar>
          </w:tcPr>
          <w:p w14:paraId="1A706AF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Diseño de la arquitectura tecnológica (FastAPI, React, PostgreSQL, Docker) y modelo de datos del sistema web.</w:t>
            </w:r>
          </w:p>
        </w:tc>
        <w:tc>
          <w:tcPr>
            <w:tcW w:w="1263" w:type="dxa"/>
            <w:vAlign w:val="center"/>
            <w:tcMar>
              <w:top w:w="70" w:type="dxa"/>
              <w:bottom w:w="70" w:type="dxa"/>
              <w:left w:w="100" w:type="dxa"/>
              <w:right w:w="100" w:type="dxa"/>
            </w:tcMar>
          </w:tcPr>
          <w:p w14:paraId="65C4CC5D"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28 septiembre–02 octubre</w:t>
            </w:r>
          </w:p>
        </w:tc>
        <w:tc>
          <w:tcPr>
            <w:tcW w:w="1371" w:type="dxa"/>
            <w:vAlign w:val="center"/>
            <w:tcMar>
              <w:top w:w="70" w:type="dxa"/>
              <w:bottom w:w="70" w:type="dxa"/>
              <w:left w:w="100" w:type="dxa"/>
              <w:right w:w="100" w:type="dxa"/>
            </w:tcMar>
          </w:tcPr>
          <w:p w14:paraId="49E0F9E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4</w:t>
            </w:r>
          </w:p>
        </w:tc>
        <w:tc>
          <w:tcPr>
            <w:tcW w:w="1855" w:type="dxa"/>
            <w:vAlign w:val="center"/>
            <w:tcMar>
              <w:top w:w="70" w:type="dxa"/>
              <w:bottom w:w="70" w:type="dxa"/>
              <w:left w:w="100" w:type="dxa"/>
              <w:right w:w="100" w:type="dxa"/>
            </w:tcMar>
          </w:tcPr>
          <w:p w14:paraId="56E0F9C0"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Arquitectura del sistema y modelo de base de datos</w:t>
            </w:r>
          </w:p>
        </w:tc>
        <w:tc>
          <w:tcPr>
            <w:tcW w:w="1472" w:type="dxa"/>
            <w:tcMar>
              <w:top w:w="70" w:type="dxa"/>
              <w:bottom w:w="70" w:type="dxa"/>
              <w:left w:w="100" w:type="dxa"/>
              <w:right w:w="100" w:type="dxa"/>
            </w:tcMar>
          </w:tcPr>
          <w:p w14:paraId="0FDA0FD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60D4697E" w14:textId="77777777" w:rsidTr="00313338">
        <w:trPr>
          <w:trHeight w:val="340" w:hRule="atLeast"/>
        </w:trPr>
        <w:tc>
          <w:tcPr>
            <w:tcW w:w="447" w:type="dxa"/>
            <w:vAlign w:val="center"/>
            <w:tcMar>
              <w:top w:w="70" w:type="dxa"/>
              <w:bottom w:w="70" w:type="dxa"/>
              <w:left w:w="100" w:type="dxa"/>
              <w:right w:w="100" w:type="dxa"/>
            </w:tcMar>
          </w:tcPr>
          <w:p w14:paraId="7597235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5</w:t>
            </w:r>
          </w:p>
        </w:tc>
        <w:tc>
          <w:tcPr>
            <w:tcW w:w="3092" w:type="dxa"/>
            <w:vAlign w:val="center"/>
            <w:tcMar>
              <w:top w:w="70" w:type="dxa"/>
              <w:bottom w:w="70" w:type="dxa"/>
              <w:left w:w="100" w:type="dxa"/>
              <w:right w:w="100" w:type="dxa"/>
            </w:tcMar>
          </w:tcPr>
          <w:p w14:paraId="4232DDC6"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Configuración del entorno de desarrollo compartido, contenedores Docker, base de datos PostgreSQL, estructura base del backend y frontend.</w:t>
            </w:r>
          </w:p>
        </w:tc>
        <w:tc>
          <w:tcPr>
            <w:tcW w:w="1263" w:type="dxa"/>
            <w:vAlign w:val="center"/>
            <w:tcMar>
              <w:top w:w="70" w:type="dxa"/>
              <w:bottom w:w="70" w:type="dxa"/>
              <w:left w:w="100" w:type="dxa"/>
              <w:right w:w="100" w:type="dxa"/>
            </w:tcMar>
          </w:tcPr>
          <w:p w14:paraId="3472DEC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05–09 octubre</w:t>
            </w:r>
          </w:p>
        </w:tc>
        <w:tc>
          <w:tcPr>
            <w:tcW w:w="1371" w:type="dxa"/>
            <w:vAlign w:val="center"/>
            <w:tcMar>
              <w:top w:w="70" w:type="dxa"/>
              <w:bottom w:w="70" w:type="dxa"/>
              <w:left w:w="100" w:type="dxa"/>
              <w:right w:w="100" w:type="dxa"/>
            </w:tcMar>
          </w:tcPr>
          <w:p w14:paraId="35DA519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5</w:t>
            </w:r>
          </w:p>
        </w:tc>
        <w:tc>
          <w:tcPr>
            <w:tcW w:w="1855" w:type="dxa"/>
            <w:vAlign w:val="center"/>
            <w:tcMar>
              <w:top w:w="70" w:type="dxa"/>
              <w:bottom w:w="70" w:type="dxa"/>
              <w:left w:w="100" w:type="dxa"/>
              <w:right w:w="100" w:type="dxa"/>
            </w:tcMar>
          </w:tcPr>
          <w:p w14:paraId="1377DB28"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Entorno de desarrollo y repositorios configurados</w:t>
            </w:r>
          </w:p>
        </w:tc>
        <w:tc>
          <w:tcPr>
            <w:tcW w:w="1472" w:type="dxa"/>
            <w:tcMar>
              <w:top w:w="70" w:type="dxa"/>
              <w:bottom w:w="70" w:type="dxa"/>
              <w:left w:w="100" w:type="dxa"/>
              <w:right w:w="100" w:type="dxa"/>
            </w:tcMar>
          </w:tcPr>
          <w:p w14:paraId="781F38D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4BC53EDF" w14:textId="77777777" w:rsidTr="00313338">
        <w:trPr>
          <w:trHeight w:val="340" w:hRule="atLeast"/>
        </w:trPr>
        <w:tc>
          <w:tcPr>
            <w:tcW w:w="447" w:type="dxa"/>
            <w:vAlign w:val="center"/>
            <w:tcMar>
              <w:top w:w="70" w:type="dxa"/>
              <w:bottom w:w="70" w:type="dxa"/>
              <w:left w:w="100" w:type="dxa"/>
              <w:right w:w="100" w:type="dxa"/>
            </w:tcMar>
          </w:tcPr>
          <w:p w14:paraId="4FDFFB7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6</w:t>
            </w:r>
          </w:p>
        </w:tc>
        <w:tc>
          <w:tcPr>
            <w:tcW w:w="3092" w:type="dxa"/>
            <w:vAlign w:val="center"/>
            <w:tcMar>
              <w:top w:w="70" w:type="dxa"/>
              <w:bottom w:w="70" w:type="dxa"/>
              <w:left w:w="100" w:type="dxa"/>
              <w:right w:w="100" w:type="dxa"/>
            </w:tcMar>
          </w:tcPr>
          <w:p w14:paraId="5EBDCA68"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Implementación de la integración con el servicio oficial de autenticación de SUNAT mediante OAuth2 (client_credentials) y gestión de caché de tokens.</w:t>
            </w:r>
          </w:p>
        </w:tc>
        <w:tc>
          <w:tcPr>
            <w:tcW w:w="1263" w:type="dxa"/>
            <w:vAlign w:val="center"/>
            <w:tcMar>
              <w:top w:w="70" w:type="dxa"/>
              <w:bottom w:w="70" w:type="dxa"/>
              <w:left w:w="100" w:type="dxa"/>
              <w:right w:w="100" w:type="dxa"/>
            </w:tcMar>
          </w:tcPr>
          <w:p w14:paraId="320AE60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12–16 octubre</w:t>
            </w:r>
          </w:p>
        </w:tc>
        <w:tc>
          <w:tcPr>
            <w:tcW w:w="1371" w:type="dxa"/>
            <w:vAlign w:val="center"/>
            <w:tcMar>
              <w:top w:w="70" w:type="dxa"/>
              <w:bottom w:w="70" w:type="dxa"/>
              <w:left w:w="100" w:type="dxa"/>
              <w:right w:w="100" w:type="dxa"/>
            </w:tcMar>
          </w:tcPr>
          <w:p w14:paraId="67266F4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6</w:t>
            </w:r>
          </w:p>
        </w:tc>
        <w:tc>
          <w:tcPr>
            <w:tcW w:w="1855" w:type="dxa"/>
            <w:vAlign w:val="center"/>
            <w:tcMar>
              <w:top w:w="70" w:type="dxa"/>
              <w:bottom w:w="70" w:type="dxa"/>
              <w:left w:w="100" w:type="dxa"/>
              <w:right w:w="100" w:type="dxa"/>
            </w:tcMar>
          </w:tcPr>
          <w:p w14:paraId="488707F9"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Servicio de autenticación OAuth2 y gestión segura de tokens SUNAT</w:t>
            </w:r>
          </w:p>
        </w:tc>
        <w:tc>
          <w:tcPr>
            <w:tcW w:w="1472" w:type="dxa"/>
            <w:tcMar>
              <w:top w:w="70" w:type="dxa"/>
              <w:bottom w:w="70" w:type="dxa"/>
              <w:left w:w="100" w:type="dxa"/>
              <w:right w:w="100" w:type="dxa"/>
            </w:tcMar>
          </w:tcPr>
          <w:p w14:paraId="7F49C2DB"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1C8D22C9" w14:textId="77777777" w:rsidTr="00313338">
        <w:trPr>
          <w:trHeight w:val="340" w:hRule="atLeast"/>
        </w:trPr>
        <w:tc>
          <w:tcPr>
            <w:tcW w:w="447" w:type="dxa"/>
            <w:vAlign w:val="center"/>
            <w:tcMar>
              <w:top w:w="70" w:type="dxa"/>
              <w:bottom w:w="70" w:type="dxa"/>
              <w:left w:w="100" w:type="dxa"/>
              <w:right w:w="100" w:type="dxa"/>
            </w:tcMar>
          </w:tcPr>
          <w:p w14:paraId="6909DFD4"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7</w:t>
            </w:r>
          </w:p>
        </w:tc>
        <w:tc>
          <w:tcPr>
            <w:tcW w:w="3092" w:type="dxa"/>
            <w:vAlign w:val="center"/>
            <w:tcMar>
              <w:top w:w="70" w:type="dxa"/>
              <w:bottom w:w="70" w:type="dxa"/>
              <w:left w:w="100" w:type="dxa"/>
              <w:right w:w="100" w:type="dxa"/>
            </w:tcMar>
          </w:tcPr>
          <w:p w14:paraId="3ADCBAA8"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Desarrollo del módulo de consulta individual de validez de comprobantes en tiempo real ante el Web Service de SUNAT y persistencia de resultados.</w:t>
            </w:r>
          </w:p>
        </w:tc>
        <w:tc>
          <w:tcPr>
            <w:tcW w:w="1263" w:type="dxa"/>
            <w:vAlign w:val="center"/>
            <w:tcMar>
              <w:top w:w="70" w:type="dxa"/>
              <w:bottom w:w="70" w:type="dxa"/>
              <w:left w:w="100" w:type="dxa"/>
              <w:right w:w="100" w:type="dxa"/>
            </w:tcMar>
          </w:tcPr>
          <w:p w14:paraId="40F1956D"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19–23 octubre</w:t>
            </w:r>
          </w:p>
        </w:tc>
        <w:tc>
          <w:tcPr>
            <w:tcW w:w="1371" w:type="dxa"/>
            <w:vAlign w:val="center"/>
            <w:tcMar>
              <w:top w:w="70" w:type="dxa"/>
              <w:bottom w:w="70" w:type="dxa"/>
              <w:left w:w="100" w:type="dxa"/>
              <w:right w:w="100" w:type="dxa"/>
            </w:tcMar>
          </w:tcPr>
          <w:p w14:paraId="0EFE3AA3"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7</w:t>
            </w:r>
          </w:p>
        </w:tc>
        <w:tc>
          <w:tcPr>
            <w:tcW w:w="1855" w:type="dxa"/>
            <w:vAlign w:val="center"/>
            <w:tcMar>
              <w:top w:w="70" w:type="dxa"/>
              <w:bottom w:w="70" w:type="dxa"/>
              <w:left w:w="100" w:type="dxa"/>
              <w:right w:w="100" w:type="dxa"/>
            </w:tcMar>
          </w:tcPr>
          <w:p w14:paraId="4A1C2FFE"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Servicio y vista de validación individual ante SUNAT funcional</w:t>
            </w:r>
          </w:p>
        </w:tc>
        <w:tc>
          <w:tcPr>
            <w:tcW w:w="1472" w:type="dxa"/>
            <w:tcMar>
              <w:top w:w="70" w:type="dxa"/>
              <w:bottom w:w="70" w:type="dxa"/>
              <w:left w:w="100" w:type="dxa"/>
              <w:right w:w="100" w:type="dxa"/>
            </w:tcMar>
          </w:tcPr>
          <w:p w14:paraId="366A06A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330F435B" w14:textId="77777777" w:rsidTr="00313338">
        <w:trPr>
          <w:trHeight w:val="340" w:hRule="atLeast"/>
        </w:trPr>
        <w:tc>
          <w:tcPr>
            <w:tcW w:w="447" w:type="dxa"/>
            <w:vAlign w:val="center"/>
            <w:tcMar>
              <w:top w:w="70" w:type="dxa"/>
              <w:bottom w:w="70" w:type="dxa"/>
              <w:left w:w="100" w:type="dxa"/>
              <w:right w:w="100" w:type="dxa"/>
            </w:tcMar>
          </w:tcPr>
          <w:p w14:paraId="6D7C39C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8</w:t>
            </w:r>
          </w:p>
        </w:tc>
        <w:tc>
          <w:tcPr>
            <w:tcW w:w="3092" w:type="dxa"/>
            <w:vAlign w:val="center"/>
            <w:tcMar>
              <w:top w:w="70" w:type="dxa"/>
              <w:bottom w:w="70" w:type="dxa"/>
              <w:left w:w="100" w:type="dxa"/>
              <w:right w:w="100" w:type="dxa"/>
            </w:tcMar>
          </w:tcPr>
          <w:p w14:paraId="51C09EE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Implementación de la recepción del lote preparado, persistencia de procesos masivos (ProcesoMasivo, ProcesoMasivoItem) y control de idempotencia.</w:t>
            </w:r>
          </w:p>
        </w:tc>
        <w:tc>
          <w:tcPr>
            <w:tcW w:w="1263" w:type="dxa"/>
            <w:vAlign w:val="center"/>
            <w:tcMar>
              <w:top w:w="70" w:type="dxa"/>
              <w:bottom w:w="70" w:type="dxa"/>
              <w:left w:w="100" w:type="dxa"/>
              <w:right w:w="100" w:type="dxa"/>
            </w:tcMar>
          </w:tcPr>
          <w:p w14:paraId="659D764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26–30 octubre</w:t>
            </w:r>
          </w:p>
        </w:tc>
        <w:tc>
          <w:tcPr>
            <w:tcW w:w="1371" w:type="dxa"/>
            <w:vAlign w:val="center"/>
            <w:tcMar>
              <w:top w:w="70" w:type="dxa"/>
              <w:bottom w:w="70" w:type="dxa"/>
              <w:left w:w="100" w:type="dxa"/>
              <w:right w:w="100" w:type="dxa"/>
            </w:tcMar>
          </w:tcPr>
          <w:p w14:paraId="64D0A5D7"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8</w:t>
            </w:r>
          </w:p>
        </w:tc>
        <w:tc>
          <w:tcPr>
            <w:tcW w:w="1855" w:type="dxa"/>
            <w:vAlign w:val="center"/>
            <w:tcMar>
              <w:top w:w="70" w:type="dxa"/>
              <w:bottom w:w="70" w:type="dxa"/>
              <w:left w:w="100" w:type="dxa"/>
              <w:right w:w="100" w:type="dxa"/>
            </w:tcMar>
          </w:tcPr>
          <w:p w14:paraId="33770D96"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Módulo de recepción de lotes, persistencia e idempotencia masiva</w:t>
            </w:r>
          </w:p>
        </w:tc>
        <w:tc>
          <w:tcPr>
            <w:tcW w:w="1472" w:type="dxa"/>
            <w:tcMar>
              <w:top w:w="70" w:type="dxa"/>
              <w:bottom w:w="70" w:type="dxa"/>
              <w:left w:w="100" w:type="dxa"/>
              <w:right w:w="100" w:type="dxa"/>
            </w:tcMar>
          </w:tcPr>
          <w:p w14:paraId="7950FD38"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79AF2305" w14:textId="77777777" w:rsidTr="00313338">
        <w:trPr>
          <w:trHeight w:val="340" w:hRule="atLeast"/>
        </w:trPr>
        <w:tc>
          <w:tcPr>
            <w:tcW w:w="447" w:type="dxa"/>
            <w:vAlign w:val="center"/>
            <w:tcMar>
              <w:top w:w="70" w:type="dxa"/>
              <w:bottom w:w="70" w:type="dxa"/>
              <w:left w:w="100" w:type="dxa"/>
              <w:right w:w="100" w:type="dxa"/>
            </w:tcMar>
          </w:tcPr>
          <w:p w14:paraId="6B97D73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9</w:t>
            </w:r>
          </w:p>
        </w:tc>
        <w:tc>
          <w:tcPr>
            <w:tcW w:w="3092" w:type="dxa"/>
            <w:vAlign w:val="center"/>
            <w:tcMar>
              <w:top w:w="70" w:type="dxa"/>
              <w:bottom w:w="70" w:type="dxa"/>
              <w:left w:w="100" w:type="dxa"/>
              <w:right w:w="100" w:type="dxa"/>
            </w:tcMar>
          </w:tcPr>
          <w:p w14:paraId="3B276A89"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Desarrollo del worker asíncrono en segundo plano con control de concurrencia (asyncio.Semaphore), delays inter-request y políticas de reintentos inteligentes.</w:t>
            </w:r>
          </w:p>
        </w:tc>
        <w:tc>
          <w:tcPr>
            <w:tcW w:w="1263" w:type="dxa"/>
            <w:vAlign w:val="center"/>
            <w:tcMar>
              <w:top w:w="70" w:type="dxa"/>
              <w:bottom w:w="70" w:type="dxa"/>
              <w:left w:w="100" w:type="dxa"/>
              <w:right w:w="100" w:type="dxa"/>
            </w:tcMar>
          </w:tcPr>
          <w:p w14:paraId="722EEDCC"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02–06 noviembre</w:t>
            </w:r>
          </w:p>
        </w:tc>
        <w:tc>
          <w:tcPr>
            <w:tcW w:w="1371" w:type="dxa"/>
            <w:vAlign w:val="center"/>
            <w:tcMar>
              <w:top w:w="70" w:type="dxa"/>
              <w:bottom w:w="70" w:type="dxa"/>
              <w:left w:w="100" w:type="dxa"/>
              <w:right w:w="100" w:type="dxa"/>
            </w:tcMar>
          </w:tcPr>
          <w:p w14:paraId="0D6597C2"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9</w:t>
            </w:r>
          </w:p>
        </w:tc>
        <w:tc>
          <w:tcPr>
            <w:tcW w:w="1855" w:type="dxa"/>
            <w:vAlign w:val="center"/>
            <w:tcMar>
              <w:top w:w="70" w:type="dxa"/>
              <w:bottom w:w="70" w:type="dxa"/>
              <w:left w:w="100" w:type="dxa"/>
              <w:right w:w="100" w:type="dxa"/>
            </w:tcMar>
          </w:tcPr>
          <w:p w14:paraId="0D7BAFA4"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Orquestador asíncrono con control de concurrencia y reintentos automáticos</w:t>
            </w:r>
          </w:p>
        </w:tc>
        <w:tc>
          <w:tcPr>
            <w:tcW w:w="1472" w:type="dxa"/>
            <w:tcMar>
              <w:top w:w="70" w:type="dxa"/>
              <w:bottom w:w="70" w:type="dxa"/>
              <w:left w:w="100" w:type="dxa"/>
              <w:right w:w="100" w:type="dxa"/>
            </w:tcMar>
          </w:tcPr>
          <w:p w14:paraId="5D0DE8F7"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09B0634C" w14:textId="77777777" w:rsidTr="00313338">
        <w:trPr>
          <w:trHeight w:val="340" w:hRule="atLeast"/>
        </w:trPr>
        <w:tc>
          <w:tcPr>
            <w:tcW w:w="447" w:type="dxa"/>
            <w:vAlign w:val="center"/>
            <w:tcMar>
              <w:top w:w="70" w:type="dxa"/>
              <w:bottom w:w="70" w:type="dxa"/>
              <w:left w:w="100" w:type="dxa"/>
              <w:right w:w="100" w:type="dxa"/>
            </w:tcMar>
          </w:tcPr>
          <w:p w14:paraId="4EDF681B"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10</w:t>
            </w:r>
          </w:p>
        </w:tc>
        <w:tc>
          <w:tcPr>
            <w:tcW w:w="3092" w:type="dxa"/>
            <w:vAlign w:val="center"/>
            <w:tcMar>
              <w:top w:w="70" w:type="dxa"/>
              <w:bottom w:w="70" w:type="dxa"/>
              <w:left w:w="100" w:type="dxa"/>
              <w:right w:w="100" w:type="dxa"/>
            </w:tcMar>
          </w:tcPr>
          <w:p w14:paraId="6BA9C639"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Implementación del motor de decodificación normativa de respuestas oficiales de SUNAT (estadoCp, estadoRuc, condDomiRuc) y clasificación unificada.</w:t>
            </w:r>
          </w:p>
        </w:tc>
        <w:tc>
          <w:tcPr>
            <w:tcW w:w="1263" w:type="dxa"/>
            <w:vAlign w:val="center"/>
            <w:tcMar>
              <w:top w:w="70" w:type="dxa"/>
              <w:bottom w:w="70" w:type="dxa"/>
              <w:left w:w="100" w:type="dxa"/>
              <w:right w:w="100" w:type="dxa"/>
            </w:tcMar>
          </w:tcPr>
          <w:p w14:paraId="6B26608E"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09–13 noviembre</w:t>
            </w:r>
          </w:p>
        </w:tc>
        <w:tc>
          <w:tcPr>
            <w:tcW w:w="1371" w:type="dxa"/>
            <w:vAlign w:val="center"/>
            <w:tcMar>
              <w:top w:w="70" w:type="dxa"/>
              <w:bottom w:w="70" w:type="dxa"/>
              <w:left w:w="100" w:type="dxa"/>
              <w:right w:w="100" w:type="dxa"/>
            </w:tcMar>
          </w:tcPr>
          <w:p w14:paraId="3A531E7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10</w:t>
            </w:r>
          </w:p>
        </w:tc>
        <w:tc>
          <w:tcPr>
            <w:tcW w:w="1855" w:type="dxa"/>
            <w:vAlign w:val="center"/>
            <w:tcMar>
              <w:top w:w="70" w:type="dxa"/>
              <w:bottom w:w="70" w:type="dxa"/>
              <w:left w:w="100" w:type="dxa"/>
              <w:right w:w="100" w:type="dxa"/>
            </w:tcMar>
          </w:tcPr>
          <w:p w14:paraId="21C5D22B"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Intérprete oficial de respuestas SUNAT y monitoreo reactivo de progreso</w:t>
            </w:r>
          </w:p>
        </w:tc>
        <w:tc>
          <w:tcPr>
            <w:tcW w:w="1472" w:type="dxa"/>
            <w:tcMar>
              <w:top w:w="70" w:type="dxa"/>
              <w:bottom w:w="70" w:type="dxa"/>
              <w:left w:w="100" w:type="dxa"/>
              <w:right w:w="100" w:type="dxa"/>
            </w:tcMar>
          </w:tcPr>
          <w:p w14:paraId="3D1C81E8"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64700A66" w14:textId="77777777" w:rsidTr="00313338">
        <w:trPr>
          <w:trHeight w:val="340" w:hRule="atLeast"/>
        </w:trPr>
        <w:tc>
          <w:tcPr>
            <w:tcW w:w="447" w:type="dxa"/>
            <w:vAlign w:val="center"/>
            <w:tcMar>
              <w:top w:w="70" w:type="dxa"/>
              <w:bottom w:w="70" w:type="dxa"/>
              <w:left w:w="100" w:type="dxa"/>
              <w:right w:w="100" w:type="dxa"/>
            </w:tcMar>
          </w:tcPr>
          <w:p w14:paraId="4EDE0F0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11</w:t>
            </w:r>
          </w:p>
        </w:tc>
        <w:tc>
          <w:tcPr>
            <w:tcW w:w="3092" w:type="dxa"/>
            <w:vAlign w:val="center"/>
            <w:tcMar>
              <w:top w:w="70" w:type="dxa"/>
              <w:bottom w:w="70" w:type="dxa"/>
              <w:left w:w="100" w:type="dxa"/>
              <w:right w:w="100" w:type="dxa"/>
            </w:tcMar>
          </w:tcPr>
          <w:p w14:paraId="37F491FC"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Desarrollo del módulo de reintento focalizado de comprobantes con error técnico, historial de consultas con filtros avanzados y vista de detalle.</w:t>
            </w:r>
          </w:p>
        </w:tc>
        <w:tc>
          <w:tcPr>
            <w:tcW w:w="1263" w:type="dxa"/>
            <w:vAlign w:val="center"/>
            <w:tcMar>
              <w:top w:w="70" w:type="dxa"/>
              <w:bottom w:w="70" w:type="dxa"/>
              <w:left w:w="100" w:type="dxa"/>
              <w:right w:w="100" w:type="dxa"/>
            </w:tcMar>
          </w:tcPr>
          <w:p w14:paraId="3C913AB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16–20 noviembre</w:t>
            </w:r>
          </w:p>
        </w:tc>
        <w:tc>
          <w:tcPr>
            <w:tcW w:w="1371" w:type="dxa"/>
            <w:vAlign w:val="center"/>
            <w:tcMar>
              <w:top w:w="70" w:type="dxa"/>
              <w:bottom w:w="70" w:type="dxa"/>
              <w:left w:w="100" w:type="dxa"/>
              <w:right w:w="100" w:type="dxa"/>
            </w:tcMar>
          </w:tcPr>
          <w:p w14:paraId="2A86C4AB"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11</w:t>
            </w:r>
          </w:p>
        </w:tc>
        <w:tc>
          <w:tcPr>
            <w:tcW w:w="1855" w:type="dxa"/>
            <w:vAlign w:val="center"/>
            <w:tcMar>
              <w:top w:w="70" w:type="dxa"/>
              <w:bottom w:w="70" w:type="dxa"/>
              <w:left w:w="100" w:type="dxa"/>
              <w:right w:w="100" w:type="dxa"/>
            </w:tcMar>
          </w:tcPr>
          <w:p w14:paraId="0F339876"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Reprocesamiento de errores técnicos e historial de consultas con filtros</w:t>
            </w:r>
          </w:p>
        </w:tc>
        <w:tc>
          <w:tcPr>
            <w:tcW w:w="1472" w:type="dxa"/>
            <w:tcMar>
              <w:top w:w="70" w:type="dxa"/>
              <w:bottom w:w="70" w:type="dxa"/>
              <w:left w:w="100" w:type="dxa"/>
              <w:right w:w="100" w:type="dxa"/>
            </w:tcMar>
          </w:tcPr>
          <w:p w14:paraId="496C8D28"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2AD8ED22" w14:textId="77777777" w:rsidTr="00313338">
        <w:trPr>
          <w:trHeight w:val="340" w:hRule="atLeast"/>
        </w:trPr>
        <w:tc>
          <w:tcPr>
            <w:tcW w:w="447" w:type="dxa"/>
            <w:vAlign w:val="center"/>
            <w:tcMar>
              <w:top w:w="70" w:type="dxa"/>
              <w:bottom w:w="70" w:type="dxa"/>
              <w:left w:w="100" w:type="dxa"/>
              <w:right w:w="100" w:type="dxa"/>
            </w:tcMar>
          </w:tcPr>
          <w:p w14:paraId="394BE73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12</w:t>
            </w:r>
          </w:p>
        </w:tc>
        <w:tc>
          <w:tcPr>
            <w:tcW w:w="3092" w:type="dxa"/>
            <w:vAlign w:val="center"/>
            <w:tcMar>
              <w:top w:w="70" w:type="dxa"/>
              <w:bottom w:w="70" w:type="dxa"/>
              <w:left w:w="100" w:type="dxa"/>
              <w:right w:w="100" w:type="dxa"/>
            </w:tcMar>
          </w:tcPr>
          <w:p w14:paraId="2FF1DBA2"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Desarrollo del Dashboard estadístico de resultados tributarios en PostgreSQL, exportación de reportes oficiales a Excel (.xlsx) y auditoría inmutable.</w:t>
            </w:r>
          </w:p>
        </w:tc>
        <w:tc>
          <w:tcPr>
            <w:tcW w:w="1263" w:type="dxa"/>
            <w:vAlign w:val="center"/>
            <w:tcMar>
              <w:top w:w="70" w:type="dxa"/>
              <w:bottom w:w="70" w:type="dxa"/>
              <w:left w:w="100" w:type="dxa"/>
              <w:right w:w="100" w:type="dxa"/>
            </w:tcMar>
          </w:tcPr>
          <w:p w14:paraId="6C83A799"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23–27 noviembre</w:t>
            </w:r>
          </w:p>
        </w:tc>
        <w:tc>
          <w:tcPr>
            <w:tcW w:w="1371" w:type="dxa"/>
            <w:vAlign w:val="center"/>
            <w:tcMar>
              <w:top w:w="70" w:type="dxa"/>
              <w:bottom w:w="70" w:type="dxa"/>
              <w:left w:w="100" w:type="dxa"/>
              <w:right w:w="100" w:type="dxa"/>
            </w:tcMar>
          </w:tcPr>
          <w:p w14:paraId="11C178F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12</w:t>
            </w:r>
          </w:p>
        </w:tc>
        <w:tc>
          <w:tcPr>
            <w:tcW w:w="1855" w:type="dxa"/>
            <w:vAlign w:val="center"/>
            <w:tcMar>
              <w:top w:w="70" w:type="dxa"/>
              <w:bottom w:w="70" w:type="dxa"/>
              <w:left w:w="100" w:type="dxa"/>
              <w:right w:w="100" w:type="dxa"/>
            </w:tcMar>
          </w:tcPr>
          <w:p w14:paraId="46497FCE"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Dashboard interactivo, exportación oficial a Excel y bitácora de auditoría</w:t>
            </w:r>
          </w:p>
        </w:tc>
        <w:tc>
          <w:tcPr>
            <w:tcW w:w="1472" w:type="dxa"/>
            <w:tcMar>
              <w:top w:w="70" w:type="dxa"/>
              <w:bottom w:w="70" w:type="dxa"/>
              <w:left w:w="100" w:type="dxa"/>
              <w:right w:w="100" w:type="dxa"/>
            </w:tcMar>
          </w:tcPr>
          <w:p w14:paraId="0CB8DBE7"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712BDF61" w14:textId="77777777" w:rsidTr="00313338">
        <w:trPr>
          <w:trHeight w:val="340" w:hRule="atLeast"/>
        </w:trPr>
        <w:tc>
          <w:tcPr>
            <w:tcW w:w="447" w:type="dxa"/>
            <w:vAlign w:val="center"/>
            <w:tcMar>
              <w:top w:w="70" w:type="dxa"/>
              <w:bottom w:w="70" w:type="dxa"/>
              <w:left w:w="100" w:type="dxa"/>
              <w:right w:w="100" w:type="dxa"/>
            </w:tcMar>
          </w:tcPr>
          <w:p w14:paraId="5F0DFE6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13</w:t>
            </w:r>
          </w:p>
        </w:tc>
        <w:tc>
          <w:tcPr>
            <w:tcW w:w="3092" w:type="dxa"/>
            <w:vAlign w:val="center"/>
            <w:tcMar>
              <w:top w:w="70" w:type="dxa"/>
              <w:bottom w:w="70" w:type="dxa"/>
              <w:left w:w="100" w:type="dxa"/>
              <w:right w:w="100" w:type="dxa"/>
            </w:tcMar>
          </w:tcPr>
          <w:p w14:paraId="36E49E97"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Pruebas de integración entre el módulo de preparación de comprobantes (Módulo 1) y el módulo de validación masiva SUNAT (Módulo 2), corrección de observaciones.</w:t>
            </w:r>
          </w:p>
        </w:tc>
        <w:tc>
          <w:tcPr>
            <w:tcW w:w="1263" w:type="dxa"/>
            <w:vAlign w:val="center"/>
            <w:tcMar>
              <w:top w:w="70" w:type="dxa"/>
              <w:bottom w:w="70" w:type="dxa"/>
              <w:left w:w="100" w:type="dxa"/>
              <w:right w:w="100" w:type="dxa"/>
            </w:tcMar>
          </w:tcPr>
          <w:p w14:paraId="7BA4C80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30 nov. – 04 dic.</w:t>
            </w:r>
          </w:p>
        </w:tc>
        <w:tc>
          <w:tcPr>
            <w:tcW w:w="1371" w:type="dxa"/>
            <w:vAlign w:val="center"/>
            <w:tcMar>
              <w:top w:w="70" w:type="dxa"/>
              <w:bottom w:w="70" w:type="dxa"/>
              <w:left w:w="100" w:type="dxa"/>
              <w:right w:w="100" w:type="dxa"/>
            </w:tcMar>
          </w:tcPr>
          <w:p w14:paraId="7B9B28E1"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13</w:t>
            </w:r>
          </w:p>
        </w:tc>
        <w:tc>
          <w:tcPr>
            <w:tcW w:w="1855" w:type="dxa"/>
            <w:vAlign w:val="center"/>
            <w:tcMar>
              <w:top w:w="70" w:type="dxa"/>
              <w:bottom w:w="70" w:type="dxa"/>
              <w:left w:w="100" w:type="dxa"/>
              <w:right w:w="100" w:type="dxa"/>
            </w:tcMar>
          </w:tcPr>
          <w:p w14:paraId="0A7C4CAF"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Informe de pruebas de integración entre módulos y depuración de errores</w:t>
            </w:r>
          </w:p>
        </w:tc>
        <w:tc>
          <w:tcPr>
            <w:tcW w:w="1472" w:type="dxa"/>
            <w:vAlign w:val="center"/>
            <w:tcMar>
              <w:top w:w="70" w:type="dxa"/>
              <w:bottom w:w="70" w:type="dxa"/>
              <w:left w:w="100" w:type="dxa"/>
              <w:right w:w="100" w:type="dxa"/>
            </w:tcMar>
          </w:tcPr>
          <w:p w14:paraId="5D967C50"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209496F4" w14:textId="77777777" w:rsidTr="00313338">
        <w:trPr>
          <w:trHeight w:val="340" w:hRule="atLeast"/>
        </w:trPr>
        <w:tc>
          <w:tcPr>
            <w:tcW w:w="447" w:type="dxa"/>
            <w:vAlign w:val="center"/>
            <w:tcMar>
              <w:top w:w="70" w:type="dxa"/>
              <w:bottom w:w="70" w:type="dxa"/>
              <w:left w:w="100" w:type="dxa"/>
              <w:right w:w="100" w:type="dxa"/>
            </w:tcMar>
          </w:tcPr>
          <w:p w14:paraId="3B256FAB"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14</w:t>
            </w:r>
          </w:p>
        </w:tc>
        <w:tc>
          <w:tcPr>
            <w:tcW w:w="3092" w:type="dxa"/>
            <w:vAlign w:val="center"/>
            <w:tcMar>
              <w:top w:w="70" w:type="dxa"/>
              <w:bottom w:w="70" w:type="dxa"/>
              <w:left w:w="100" w:type="dxa"/>
              <w:right w:w="100" w:type="dxa"/>
            </w:tcMar>
          </w:tcPr>
          <w:p w14:paraId="2639CE76"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Validación del sistema con los usuarios contables de DAIRA S.A.C., pruebas de estrés de lotes y atención de ajustes operativos.</w:t>
            </w:r>
          </w:p>
        </w:tc>
        <w:tc>
          <w:tcPr>
            <w:tcW w:w="1263" w:type="dxa"/>
            <w:vAlign w:val="center"/>
            <w:tcMar>
              <w:top w:w="70" w:type="dxa"/>
              <w:bottom w:w="70" w:type="dxa"/>
              <w:left w:w="100" w:type="dxa"/>
              <w:right w:w="100" w:type="dxa"/>
            </w:tcMar>
          </w:tcPr>
          <w:p w14:paraId="12B24875"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07 – 11 dic.</w:t>
            </w:r>
          </w:p>
        </w:tc>
        <w:tc>
          <w:tcPr>
            <w:tcW w:w="1371" w:type="dxa"/>
            <w:vAlign w:val="center"/>
            <w:tcMar>
              <w:top w:w="70" w:type="dxa"/>
              <w:bottom w:w="70" w:type="dxa"/>
              <w:left w:w="100" w:type="dxa"/>
              <w:right w:w="100" w:type="dxa"/>
            </w:tcMar>
          </w:tcPr>
          <w:p w14:paraId="5C925DD6"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t>Semana 14</w:t>
            </w:r>
          </w:p>
        </w:tc>
        <w:tc>
          <w:tcPr>
            <w:tcW w:w="1855" w:type="dxa"/>
            <w:vAlign w:val="center"/>
            <w:tcMar>
              <w:top w:w="70" w:type="dxa"/>
              <w:bottom w:w="70" w:type="dxa"/>
              <w:left w:w="100" w:type="dxa"/>
              <w:right w:w="100" w:type="dxa"/>
            </w:tcMar>
          </w:tcPr>
          <w:p w14:paraId="7626B075" w14:textId="77777777" w:rsidR="00E573FC" w:rsidRPr="008375BC" w:rsidRDefault="00E573FC" w:rsidP="00313338">
            <w:pPr>
              <w:jc w:val="left"/>
              <w:rPr>
                <w:sz w:val="22"/>
                <w:szCs w:val="22"/>
              </w:rPr>
              <w:spacing w:line="340" w:lineRule="atLeast" w:after="0" w:before="0"/>
            </w:pPr>
            <w:r/>
            <w:r>
              <w:rPr>
                <w:rFonts w:ascii="Aptos" w:hAnsi="Aptos"/>
                <w:b w:val="0"/>
                <w:color w:val="000000"/>
                <w:sz w:val="19"/>
              </w:rPr>
              <w:t>Acta de pruebas con usuarios contables y ajustes finales implementados</w:t>
            </w:r>
          </w:p>
        </w:tc>
        <w:tc>
          <w:tcPr>
            <w:tcW w:w="1472" w:type="dxa"/>
            <w:vAlign w:val="center"/>
            <w:tcMar>
              <w:top w:w="70" w:type="dxa"/>
              <w:bottom w:w="70" w:type="dxa"/>
              <w:left w:w="100" w:type="dxa"/>
              <w:right w:w="100" w:type="dxa"/>
            </w:tcMar>
          </w:tcPr>
          <w:p w14:paraId="454C70E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5A27DFC7" w14:textId="77777777" w:rsidTr="00313338">
        <w:trPr>
          <w:trHeight w:val="340" w:hRule="atLeast"/>
        </w:trPr>
        <w:tc>
          <w:tcPr>
            <w:tcW w:w="447" w:type="dxa"/>
            <w:vAlign w:val="center"/>
            <w:tcMar>
              <w:top w:w="70" w:type="dxa"/>
              <w:bottom w:w="70" w:type="dxa"/>
              <w:left w:w="100" w:type="dxa"/>
              <w:right w:w="100" w:type="dxa"/>
            </w:tcMar>
          </w:tcPr>
          <w:p w14:paraId="7F6FCF3A" w14:textId="77777777" w:rsidR="00E573FC" w:rsidRPr="003C775C" w:rsidRDefault="00E573FC" w:rsidP="00313338">
            <w:pPr>
              <w:jc w:val="center"/>
              <w:rPr>
                <w:lang w:eastAsia="en-US"/>
              </w:rPr>
              <w:spacing w:line="340" w:lineRule="atLeast" w:after="0" w:before="0"/>
            </w:pPr>
            <w:r/>
            <w:r>
              <w:rPr>
                <w:rFonts w:ascii="Aptos" w:hAnsi="Aptos"/>
                <w:b w:val="0"/>
                <w:color w:val="000000"/>
                <w:sz w:val="19"/>
              </w:rPr>
              <w:t>15</w:t>
            </w:r>
          </w:p>
        </w:tc>
        <w:tc>
          <w:tcPr>
            <w:tcW w:w="3092" w:type="dxa"/>
            <w:vAlign w:val="center"/>
            <w:tcMar>
              <w:top w:w="70" w:type="dxa"/>
              <w:bottom w:w="70" w:type="dxa"/>
              <w:left w:w="100" w:type="dxa"/>
              <w:right w:w="100" w:type="dxa"/>
            </w:tcMar>
          </w:tcPr>
          <w:p w14:paraId="7F6DD3EF" w14:textId="77777777" w:rsidR="00E573FC" w:rsidRPr="003C775C" w:rsidRDefault="00E573FC" w:rsidP="00313338">
            <w:pPr>
              <w:jc w:val="left"/>
              <w:rPr>
                <w:lang w:eastAsia="en-US"/>
              </w:rPr>
              <w:spacing w:line="340" w:lineRule="atLeast" w:after="0" w:before="0"/>
            </w:pPr>
            <w:r/>
            <w:r>
              <w:rPr>
                <w:rFonts w:ascii="Aptos" w:hAnsi="Aptos"/>
                <w:b w:val="0"/>
                <w:color w:val="000000"/>
                <w:sz w:val="19"/>
              </w:rPr>
              <w:t>Optimización de rendimiento, elaboración de manuales de usuario, documentación técnica y capacitación al personal contable de la empresa.</w:t>
            </w:r>
          </w:p>
        </w:tc>
        <w:tc>
          <w:tcPr>
            <w:tcW w:w="1263" w:type="dxa"/>
            <w:vAlign w:val="center"/>
            <w:tcMar>
              <w:top w:w="70" w:type="dxa"/>
              <w:bottom w:w="70" w:type="dxa"/>
              <w:left w:w="100" w:type="dxa"/>
              <w:right w:w="100" w:type="dxa"/>
            </w:tcMar>
          </w:tcPr>
          <w:p w14:paraId="33687F5F" w14:textId="77777777" w:rsidR="00E573FC" w:rsidRPr="003C775C" w:rsidRDefault="00E573FC" w:rsidP="00313338">
            <w:pPr>
              <w:jc w:val="center"/>
              <w:rPr>
                <w:lang w:eastAsia="en-US"/>
              </w:rPr>
              <w:spacing w:line="340" w:lineRule="atLeast" w:after="0" w:before="0"/>
            </w:pPr>
            <w:r/>
            <w:r>
              <w:rPr>
                <w:rFonts w:ascii="Aptos" w:hAnsi="Aptos"/>
                <w:b w:val="0"/>
                <w:color w:val="000000"/>
                <w:sz w:val="19"/>
              </w:rPr>
              <w:t>14 – 18 dic.</w:t>
            </w:r>
          </w:p>
        </w:tc>
        <w:tc>
          <w:tcPr>
            <w:tcW w:w="1371" w:type="dxa"/>
            <w:vAlign w:val="center"/>
            <w:tcMar>
              <w:top w:w="70" w:type="dxa"/>
              <w:bottom w:w="70" w:type="dxa"/>
              <w:left w:w="100" w:type="dxa"/>
              <w:right w:w="100" w:type="dxa"/>
            </w:tcMar>
          </w:tcPr>
          <w:p w14:paraId="4AEB299E" w14:textId="77777777" w:rsidR="00E573FC" w:rsidRPr="003C775C" w:rsidRDefault="00E573FC" w:rsidP="00313338">
            <w:pPr>
              <w:jc w:val="center"/>
              <w:rPr>
                <w:lang w:eastAsia="en-US"/>
              </w:rPr>
              <w:spacing w:line="340" w:lineRule="atLeast" w:after="0" w:before="0"/>
            </w:pPr>
            <w:r/>
            <w:r>
              <w:rPr>
                <w:rFonts w:ascii="Aptos" w:hAnsi="Aptos"/>
                <w:b w:val="0"/>
                <w:color w:val="000000"/>
                <w:sz w:val="19"/>
              </w:rPr>
              <w:t>Semana 15</w:t>
            </w:r>
          </w:p>
        </w:tc>
        <w:tc>
          <w:tcPr>
            <w:tcW w:w="1855" w:type="dxa"/>
            <w:vAlign w:val="center"/>
            <w:tcMar>
              <w:top w:w="70" w:type="dxa"/>
              <w:bottom w:w="70" w:type="dxa"/>
              <w:left w:w="100" w:type="dxa"/>
              <w:right w:w="100" w:type="dxa"/>
            </w:tcMar>
          </w:tcPr>
          <w:p w14:paraId="3AA85E87" w14:textId="77777777" w:rsidR="00E573FC" w:rsidRPr="003C775C" w:rsidRDefault="00E573FC" w:rsidP="00313338">
            <w:pPr>
              <w:jc w:val="left"/>
              <w:rPr>
                <w:lang w:eastAsia="en-US"/>
              </w:rPr>
              <w:spacing w:line="340" w:lineRule="atLeast" w:after="0" w:before="0"/>
            </w:pPr>
            <w:r/>
            <w:r>
              <w:rPr>
                <w:rFonts w:ascii="Aptos" w:hAnsi="Aptos"/>
                <w:b w:val="0"/>
                <w:color w:val="000000"/>
                <w:sz w:val="19"/>
              </w:rPr>
              <w:t>Manual de usuario, documentación técnica y constancia de capacitación</w:t>
            </w:r>
          </w:p>
        </w:tc>
        <w:tc>
          <w:tcPr>
            <w:tcW w:w="1472" w:type="dxa"/>
            <w:vAlign w:val="center"/>
            <w:tcMar>
              <w:top w:w="70" w:type="dxa"/>
              <w:bottom w:w="70" w:type="dxa"/>
              <w:left w:w="100" w:type="dxa"/>
              <w:right w:w="100" w:type="dxa"/>
            </w:tcMar>
          </w:tcPr>
          <w:p w14:paraId="683F297F"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r w:rsidR="00E573FC" w:rsidRPr="008375BC" w14:paraId="19DF3B77" w14:textId="77777777" w:rsidTr="00313338">
        <w:trPr>
          <w:trHeight w:val="340" w:hRule="atLeast"/>
        </w:trPr>
        <w:tc>
          <w:tcPr>
            <w:tcW w:w="447" w:type="dxa"/>
            <w:vAlign w:val="center"/>
            <w:tcMar>
              <w:top w:w="70" w:type="dxa"/>
              <w:bottom w:w="70" w:type="dxa"/>
              <w:left w:w="100" w:type="dxa"/>
              <w:right w:w="100" w:type="dxa"/>
            </w:tcMar>
          </w:tcPr>
          <w:p w14:paraId="46C0ABAF" w14:textId="77777777" w:rsidR="00E573FC" w:rsidRPr="003C775C" w:rsidRDefault="00E573FC" w:rsidP="00313338">
            <w:pPr>
              <w:jc w:val="center"/>
              <w:rPr>
                <w:lang w:eastAsia="en-US"/>
              </w:rPr>
              <w:spacing w:line="340" w:lineRule="atLeast" w:after="0" w:before="0"/>
            </w:pPr>
            <w:r/>
            <w:r>
              <w:rPr>
                <w:rFonts w:ascii="Aptos" w:hAnsi="Aptos"/>
                <w:b w:val="0"/>
                <w:color w:val="000000"/>
                <w:sz w:val="19"/>
              </w:rPr>
              <w:t>16</w:t>
            </w:r>
          </w:p>
        </w:tc>
        <w:tc>
          <w:tcPr>
            <w:tcW w:w="3092" w:type="dxa"/>
            <w:vAlign w:val="center"/>
            <w:tcMar>
              <w:top w:w="70" w:type="dxa"/>
              <w:bottom w:w="70" w:type="dxa"/>
              <w:left w:w="100" w:type="dxa"/>
              <w:right w:w="100" w:type="dxa"/>
            </w:tcMar>
          </w:tcPr>
          <w:p w14:paraId="688742F8" w14:textId="77777777" w:rsidR="00E573FC" w:rsidRPr="003C775C" w:rsidRDefault="00E573FC" w:rsidP="00313338">
            <w:pPr>
              <w:jc w:val="left"/>
              <w:rPr>
                <w:lang w:eastAsia="en-US"/>
              </w:rPr>
              <w:spacing w:line="340" w:lineRule="atLeast" w:after="0" w:before="0"/>
            </w:pPr>
            <w:r/>
            <w:r>
              <w:rPr>
                <w:rFonts w:ascii="Aptos" w:hAnsi="Aptos"/>
                <w:b w:val="0"/>
                <w:color w:val="000000"/>
                <w:sz w:val="19"/>
              </w:rPr>
              <w:t>Presentación de resultados finales ante la gerencia de DAIRA S.A.C., entrega formal de la solución web, conformidad del supervisor y cierre de prácticas preprofesionales.</w:t>
            </w:r>
          </w:p>
        </w:tc>
        <w:tc>
          <w:tcPr>
            <w:tcW w:w="1263" w:type="dxa"/>
            <w:vAlign w:val="center"/>
            <w:tcMar>
              <w:top w:w="70" w:type="dxa"/>
              <w:bottom w:w="70" w:type="dxa"/>
              <w:left w:w="100" w:type="dxa"/>
              <w:right w:w="100" w:type="dxa"/>
            </w:tcMar>
          </w:tcPr>
          <w:p w14:paraId="2821219A" w14:textId="77777777" w:rsidR="00E573FC" w:rsidRPr="00537218" w:rsidRDefault="00E573FC" w:rsidP="00313338">
            <w:pPr>
              <w:jc w:val="center"/>
              <w:rPr>
                <w:b/>
                <w:bCs/>
                <w:lang w:eastAsia="en-US"/>
              </w:rPr>
              <w:spacing w:line="340" w:lineRule="atLeast" w:after="0" w:before="0"/>
            </w:pPr>
            <w:r/>
            <w:r>
              <w:rPr>
                <w:rFonts w:ascii="Aptos" w:hAnsi="Aptos"/>
                <w:b w:val="0"/>
                <w:color w:val="000000"/>
                <w:sz w:val="19"/>
              </w:rPr>
              <w:t>19 – 20 dic.</w:t>
            </w:r>
          </w:p>
        </w:tc>
        <w:tc>
          <w:tcPr>
            <w:tcW w:w="1371" w:type="dxa"/>
            <w:vAlign w:val="center"/>
            <w:tcMar>
              <w:top w:w="70" w:type="dxa"/>
              <w:bottom w:w="70" w:type="dxa"/>
              <w:left w:w="100" w:type="dxa"/>
              <w:right w:w="100" w:type="dxa"/>
            </w:tcMar>
          </w:tcPr>
          <w:p w14:paraId="1A12CDF1" w14:textId="77777777" w:rsidR="00E573FC" w:rsidRPr="00537218" w:rsidRDefault="00E573FC" w:rsidP="00313338">
            <w:pPr>
              <w:jc w:val="center"/>
              <w:rPr>
                <w:b/>
                <w:bCs/>
                <w:lang w:eastAsia="en-US"/>
              </w:rPr>
              <w:spacing w:line="340" w:lineRule="atLeast" w:after="0" w:before="0"/>
            </w:pPr>
            <w:r/>
            <w:r>
              <w:rPr>
                <w:rFonts w:ascii="Aptos" w:hAnsi="Aptos"/>
                <w:b w:val="0"/>
                <w:color w:val="000000"/>
                <w:sz w:val="19"/>
              </w:rPr>
              <w:t>Cierre</w:t>
            </w:r>
          </w:p>
        </w:tc>
        <w:tc>
          <w:tcPr>
            <w:tcW w:w="1855" w:type="dxa"/>
            <w:vAlign w:val="center"/>
            <w:tcMar>
              <w:top w:w="70" w:type="dxa"/>
              <w:bottom w:w="70" w:type="dxa"/>
              <w:left w:w="100" w:type="dxa"/>
              <w:right w:w="100" w:type="dxa"/>
            </w:tcMar>
          </w:tcPr>
          <w:p w14:paraId="5E73447B" w14:textId="77777777" w:rsidR="00E573FC" w:rsidRPr="00537218" w:rsidRDefault="00E573FC" w:rsidP="00313338">
            <w:pPr>
              <w:jc w:val="left"/>
              <w:rPr>
                <w:b/>
                <w:bCs/>
                <w:lang w:eastAsia="en-US"/>
              </w:rPr>
              <w:spacing w:line="340" w:lineRule="atLeast" w:after="0" w:before="0"/>
            </w:pPr>
            <w:r/>
            <w:r>
              <w:rPr>
                <w:rFonts w:ascii="Aptos" w:hAnsi="Aptos"/>
                <w:b w:val="0"/>
                <w:color w:val="000000"/>
                <w:sz w:val="19"/>
              </w:rPr>
              <w:t>Sistema entregado en producción, informe final y constancia de conformidad</w:t>
            </w:r>
          </w:p>
        </w:tc>
        <w:tc>
          <w:tcPr>
            <w:tcW w:w="1472" w:type="dxa"/>
            <w:vAlign w:val="center"/>
            <w:tcMar>
              <w:top w:w="70" w:type="dxa"/>
              <w:bottom w:w="70" w:type="dxa"/>
              <w:left w:w="100" w:type="dxa"/>
              <w:right w:w="100" w:type="dxa"/>
            </w:tcMar>
          </w:tcPr>
          <w:p w14:paraId="071709CA" w14:textId="77777777" w:rsidR="00E573FC" w:rsidRPr="008375BC" w:rsidRDefault="00E573FC" w:rsidP="00313338">
            <w:pPr>
              <w:jc w:val="center"/>
              <w:rPr>
                <w:sz w:val="22"/>
                <w:szCs w:val="22"/>
              </w:rPr>
              <w:spacing w:line="340" w:lineRule="atLeast" w:after="0" w:before="0"/>
            </w:pPr>
            <w:r/>
            <w:r>
              <w:rPr>
                <w:rFonts w:ascii="Aptos" w:hAnsi="Aptos"/>
                <w:b w:val="0"/>
                <w:color w:val="000000"/>
                <w:sz w:val="19"/>
              </w:rPr>
            </w:r>
          </w:p>
        </w:tc>
      </w:tr>
    </w:tbl>
    <w:p w14:paraId="23F8F6BC" w14:textId="77777777" w:rsidR="00E573FC" w:rsidRDefault="00E573FC" w:rsidP="00E573FC">
      <w:pPr>
        <w:spacing w:line="360" w:lineRule="auto"/>
        <w:jc w:val="both"/>
        <w:rPr>
          <w:sz w:val="24"/>
          <w:szCs w:val="24"/>
        </w:rPr>
      </w:pPr>
    </w:p>
    <w:p w14:paraId="211E4E1C" w14:textId="77777777" w:rsidR="00E573FC" w:rsidRDefault="00E573FC" w:rsidP="00E573FC">
      <w:pPr>
        <w:spacing w:line="360" w:lineRule="auto"/>
        <w:jc w:val="both"/>
        <w:rPr>
          <w:sz w:val="24"/>
          <w:szCs w:val="24"/>
        </w:rPr>
      </w:pPr>
    </w:p>
    <w:p w14:paraId="22A74A69" w14:textId="77777777" w:rsidR="00E573FC" w:rsidRDefault="00E573FC" w:rsidP="00E573FC">
      <w:pPr>
        <w:spacing w:line="360" w:lineRule="auto"/>
        <w:jc w:val="both"/>
        <w:rPr>
          <w:b/>
          <w:bCs/>
          <w:sz w:val="24"/>
          <w:szCs w:val="24"/>
        </w:rPr>
      </w:pPr>
      <w:r w:rsidRPr="00E30FBF">
        <w:rPr>
          <w:b/>
          <w:bCs/>
        </w:rPr>
        <w:t xml:space="preserve">Diagrama de Gantt </w:t>
      </w:r>
    </w:p>
    <w:p w14:paraId="06DE6781" w14:textId="77777777" w:rsidR="00E573FC" w:rsidRDefault="00E573FC" w:rsidP="00E573FC">
      <w:pPr>
        <w:pStyle w:val="Descripcin"/>
        <w:keepNext/>
      </w:pPr>
      <w:bookmarkStart w:id="13" w:name="_Toc241270031"/>
      <w:r>
        <w:t xml:space="preserve">Tabla </w:t>
      </w:r>
      <w:r>
        <w:fldChar w:fldCharType="begin"/>
      </w:r>
      <w:r>
        <w:instrText xml:space="preserve"> SEQ Tabla \* ARABIC </w:instrText>
      </w:r>
      <w:r>
        <w:fldChar w:fldCharType="separate"/>
      </w:r>
      <w:r>
        <w:rPr>
          <w:noProof/>
        </w:rPr>
        <w:t>7</w:t>
      </w:r>
      <w:r>
        <w:fldChar w:fldCharType="end"/>
      </w:r>
      <w:r>
        <w:t xml:space="preserve">: Diagrama de </w:t>
      </w:r>
      <w:proofErr w:type="spellStart"/>
      <w:r>
        <w:t>Gant</w:t>
      </w:r>
      <w:bookmarkEnd w:id="13"/>
      <w:proofErr w:type="spellEnd"/>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834"/>
        <w:gridCol w:w="412"/>
        <w:gridCol w:w="412"/>
        <w:gridCol w:w="412"/>
        <w:gridCol w:w="412"/>
        <w:gridCol w:w="412"/>
        <w:gridCol w:w="412"/>
        <w:gridCol w:w="412"/>
        <w:gridCol w:w="412"/>
        <w:gridCol w:w="412"/>
        <w:gridCol w:w="512"/>
        <w:gridCol w:w="512"/>
        <w:gridCol w:w="512"/>
        <w:gridCol w:w="512"/>
        <w:gridCol w:w="512"/>
        <w:gridCol w:w="512"/>
        <w:gridCol w:w="512"/>
      </w:tblGrid>
      <w:tr w:rsidR="00E573FC" w14:paraId="478F7A09" w14:textId="77777777" w:rsidTr="00313338">
        <w:trPr>
          <w:trHeight w:val="219"/>
        </w:trPr>
        <w:tc>
          <w:tcPr>
            <w:tcW w:w="425" w:type="dxa"/>
            <w:shd w:val="clear" w:color="auto" w:fill="404040"/>
            <w:tcMar>
              <w:top w:w="80" w:type="dxa"/>
              <w:left w:w="100" w:type="dxa"/>
              <w:bottom w:w="80" w:type="dxa"/>
              <w:right w:w="100" w:type="dxa"/>
            </w:tcMar>
            <w:vAlign w:val="center"/>
          </w:tcPr>
          <w:p w14:paraId="1D356CAC" w14:textId="77777777" w:rsidR="00E573FC" w:rsidRDefault="00E573FC" w:rsidP="00313338">
            <w:pPr>
              <w:jc w:val="center"/>
            </w:pPr>
            <w:proofErr w:type="spellStart"/>
            <w:r>
              <w:rPr>
                <w:b/>
                <w:bCs/>
                <w:color w:val="FFFFFF"/>
              </w:rPr>
              <w:t>N°</w:t>
            </w:r>
            <w:proofErr w:type="spellEnd"/>
          </w:p>
        </w:tc>
        <w:tc>
          <w:tcPr>
            <w:tcW w:w="1834" w:type="dxa"/>
            <w:shd w:val="clear" w:color="auto" w:fill="404040"/>
            <w:tcMar>
              <w:top w:w="80" w:type="dxa"/>
              <w:left w:w="100" w:type="dxa"/>
              <w:bottom w:w="80" w:type="dxa"/>
              <w:right w:w="100" w:type="dxa"/>
            </w:tcMar>
            <w:vAlign w:val="center"/>
          </w:tcPr>
          <w:p w14:paraId="2596CDCA" w14:textId="77777777" w:rsidR="00E573FC" w:rsidRDefault="00E573FC" w:rsidP="00313338">
            <w:pPr>
              <w:jc w:val="center"/>
            </w:pPr>
            <w:r>
              <w:rPr>
                <w:b/>
                <w:bCs/>
                <w:color w:val="FFFFFF"/>
              </w:rPr>
              <w:t>Actividad</w:t>
            </w:r>
          </w:p>
        </w:tc>
        <w:tc>
          <w:tcPr>
            <w:tcW w:w="412" w:type="dxa"/>
            <w:shd w:val="clear" w:color="auto" w:fill="404040"/>
            <w:tcMar>
              <w:top w:w="80" w:type="dxa"/>
              <w:left w:w="100" w:type="dxa"/>
              <w:bottom w:w="80" w:type="dxa"/>
              <w:right w:w="100" w:type="dxa"/>
            </w:tcMar>
            <w:vAlign w:val="center"/>
          </w:tcPr>
          <w:p w14:paraId="256186EA" w14:textId="77777777" w:rsidR="00E573FC" w:rsidRDefault="00E573FC" w:rsidP="00313338">
            <w:pPr>
              <w:jc w:val="center"/>
            </w:pPr>
            <w:r>
              <w:rPr>
                <w:b/>
                <w:bCs/>
                <w:color w:val="FFFFFF"/>
              </w:rPr>
              <w:t>S1</w:t>
            </w:r>
          </w:p>
        </w:tc>
        <w:tc>
          <w:tcPr>
            <w:tcW w:w="412" w:type="dxa"/>
            <w:shd w:val="clear" w:color="auto" w:fill="404040"/>
            <w:tcMar>
              <w:top w:w="80" w:type="dxa"/>
              <w:left w:w="100" w:type="dxa"/>
              <w:bottom w:w="80" w:type="dxa"/>
              <w:right w:w="100" w:type="dxa"/>
            </w:tcMar>
            <w:vAlign w:val="center"/>
          </w:tcPr>
          <w:p w14:paraId="29819241" w14:textId="77777777" w:rsidR="00E573FC" w:rsidRDefault="00E573FC" w:rsidP="00313338">
            <w:pPr>
              <w:jc w:val="center"/>
            </w:pPr>
            <w:r>
              <w:rPr>
                <w:b/>
                <w:bCs/>
                <w:color w:val="FFFFFF"/>
              </w:rPr>
              <w:t>S2</w:t>
            </w:r>
          </w:p>
        </w:tc>
        <w:tc>
          <w:tcPr>
            <w:tcW w:w="412" w:type="dxa"/>
            <w:shd w:val="clear" w:color="auto" w:fill="404040"/>
            <w:tcMar>
              <w:top w:w="80" w:type="dxa"/>
              <w:left w:w="100" w:type="dxa"/>
              <w:bottom w:w="80" w:type="dxa"/>
              <w:right w:w="100" w:type="dxa"/>
            </w:tcMar>
            <w:vAlign w:val="center"/>
          </w:tcPr>
          <w:p w14:paraId="6AD499E2" w14:textId="77777777" w:rsidR="00E573FC" w:rsidRDefault="00E573FC" w:rsidP="00313338">
            <w:pPr>
              <w:jc w:val="center"/>
            </w:pPr>
            <w:r>
              <w:rPr>
                <w:b/>
                <w:bCs/>
                <w:color w:val="FFFFFF"/>
              </w:rPr>
              <w:t>S3</w:t>
            </w:r>
          </w:p>
        </w:tc>
        <w:tc>
          <w:tcPr>
            <w:tcW w:w="412" w:type="dxa"/>
            <w:shd w:val="clear" w:color="auto" w:fill="404040"/>
            <w:tcMar>
              <w:top w:w="80" w:type="dxa"/>
              <w:left w:w="100" w:type="dxa"/>
              <w:bottom w:w="80" w:type="dxa"/>
              <w:right w:w="100" w:type="dxa"/>
            </w:tcMar>
            <w:vAlign w:val="center"/>
          </w:tcPr>
          <w:p w14:paraId="79205DDF" w14:textId="77777777" w:rsidR="00E573FC" w:rsidRDefault="00E573FC" w:rsidP="00313338">
            <w:pPr>
              <w:jc w:val="center"/>
            </w:pPr>
            <w:r>
              <w:rPr>
                <w:b/>
                <w:bCs/>
                <w:color w:val="FFFFFF"/>
              </w:rPr>
              <w:t>S4</w:t>
            </w:r>
          </w:p>
        </w:tc>
        <w:tc>
          <w:tcPr>
            <w:tcW w:w="412" w:type="dxa"/>
            <w:shd w:val="clear" w:color="auto" w:fill="404040"/>
            <w:tcMar>
              <w:top w:w="80" w:type="dxa"/>
              <w:left w:w="100" w:type="dxa"/>
              <w:bottom w:w="80" w:type="dxa"/>
              <w:right w:w="100" w:type="dxa"/>
            </w:tcMar>
            <w:vAlign w:val="center"/>
          </w:tcPr>
          <w:p w14:paraId="69BE2E11" w14:textId="77777777" w:rsidR="00E573FC" w:rsidRDefault="00E573FC" w:rsidP="00313338">
            <w:pPr>
              <w:jc w:val="center"/>
            </w:pPr>
            <w:r>
              <w:rPr>
                <w:b/>
                <w:bCs/>
                <w:color w:val="FFFFFF"/>
              </w:rPr>
              <w:t>S5</w:t>
            </w:r>
          </w:p>
        </w:tc>
        <w:tc>
          <w:tcPr>
            <w:tcW w:w="412" w:type="dxa"/>
            <w:shd w:val="clear" w:color="auto" w:fill="404040"/>
            <w:tcMar>
              <w:top w:w="80" w:type="dxa"/>
              <w:left w:w="100" w:type="dxa"/>
              <w:bottom w:w="80" w:type="dxa"/>
              <w:right w:w="100" w:type="dxa"/>
            </w:tcMar>
            <w:vAlign w:val="center"/>
          </w:tcPr>
          <w:p w14:paraId="3FFA3E55" w14:textId="77777777" w:rsidR="00E573FC" w:rsidRDefault="00E573FC" w:rsidP="00313338">
            <w:pPr>
              <w:jc w:val="center"/>
            </w:pPr>
            <w:r>
              <w:rPr>
                <w:b/>
                <w:bCs/>
                <w:color w:val="FFFFFF"/>
              </w:rPr>
              <w:t>S6</w:t>
            </w:r>
          </w:p>
        </w:tc>
        <w:tc>
          <w:tcPr>
            <w:tcW w:w="412" w:type="dxa"/>
            <w:shd w:val="clear" w:color="auto" w:fill="404040"/>
            <w:tcMar>
              <w:top w:w="80" w:type="dxa"/>
              <w:left w:w="100" w:type="dxa"/>
              <w:bottom w:w="80" w:type="dxa"/>
              <w:right w:w="100" w:type="dxa"/>
            </w:tcMar>
            <w:vAlign w:val="center"/>
          </w:tcPr>
          <w:p w14:paraId="7E361BE4" w14:textId="77777777" w:rsidR="00E573FC" w:rsidRDefault="00E573FC" w:rsidP="00313338">
            <w:pPr>
              <w:jc w:val="center"/>
            </w:pPr>
            <w:r>
              <w:rPr>
                <w:b/>
                <w:bCs/>
                <w:color w:val="FFFFFF"/>
              </w:rPr>
              <w:t>S7</w:t>
            </w:r>
          </w:p>
        </w:tc>
        <w:tc>
          <w:tcPr>
            <w:tcW w:w="412" w:type="dxa"/>
            <w:shd w:val="clear" w:color="auto" w:fill="404040"/>
            <w:tcMar>
              <w:top w:w="80" w:type="dxa"/>
              <w:left w:w="100" w:type="dxa"/>
              <w:bottom w:w="80" w:type="dxa"/>
              <w:right w:w="100" w:type="dxa"/>
            </w:tcMar>
            <w:vAlign w:val="center"/>
          </w:tcPr>
          <w:p w14:paraId="7CD8F1EF" w14:textId="77777777" w:rsidR="00E573FC" w:rsidRDefault="00E573FC" w:rsidP="00313338">
            <w:pPr>
              <w:jc w:val="center"/>
            </w:pPr>
            <w:r>
              <w:rPr>
                <w:b/>
                <w:bCs/>
                <w:color w:val="FFFFFF"/>
              </w:rPr>
              <w:t>S8</w:t>
            </w:r>
          </w:p>
        </w:tc>
        <w:tc>
          <w:tcPr>
            <w:tcW w:w="412" w:type="dxa"/>
            <w:shd w:val="clear" w:color="auto" w:fill="404040"/>
            <w:tcMar>
              <w:top w:w="80" w:type="dxa"/>
              <w:left w:w="100" w:type="dxa"/>
              <w:bottom w:w="80" w:type="dxa"/>
              <w:right w:w="100" w:type="dxa"/>
            </w:tcMar>
            <w:vAlign w:val="center"/>
          </w:tcPr>
          <w:p w14:paraId="29C6649F" w14:textId="77777777" w:rsidR="00E573FC" w:rsidRDefault="00E573FC" w:rsidP="00313338">
            <w:pPr>
              <w:jc w:val="center"/>
            </w:pPr>
            <w:r>
              <w:rPr>
                <w:b/>
                <w:bCs/>
                <w:color w:val="FFFFFF"/>
              </w:rPr>
              <w:t>S9</w:t>
            </w:r>
          </w:p>
        </w:tc>
        <w:tc>
          <w:tcPr>
            <w:tcW w:w="512" w:type="dxa"/>
            <w:shd w:val="clear" w:color="auto" w:fill="404040"/>
            <w:tcMar>
              <w:top w:w="80" w:type="dxa"/>
              <w:left w:w="100" w:type="dxa"/>
              <w:bottom w:w="80" w:type="dxa"/>
              <w:right w:w="100" w:type="dxa"/>
            </w:tcMar>
            <w:vAlign w:val="center"/>
          </w:tcPr>
          <w:p w14:paraId="3B0EF8E9" w14:textId="77777777" w:rsidR="00E573FC" w:rsidRDefault="00E573FC" w:rsidP="00313338">
            <w:pPr>
              <w:jc w:val="center"/>
            </w:pPr>
            <w:r>
              <w:rPr>
                <w:b/>
                <w:bCs/>
                <w:color w:val="FFFFFF"/>
              </w:rPr>
              <w:t>S10</w:t>
            </w:r>
          </w:p>
        </w:tc>
        <w:tc>
          <w:tcPr>
            <w:tcW w:w="512" w:type="dxa"/>
            <w:shd w:val="clear" w:color="auto" w:fill="404040"/>
            <w:tcMar>
              <w:top w:w="80" w:type="dxa"/>
              <w:left w:w="100" w:type="dxa"/>
              <w:bottom w:w="80" w:type="dxa"/>
              <w:right w:w="100" w:type="dxa"/>
            </w:tcMar>
            <w:vAlign w:val="center"/>
          </w:tcPr>
          <w:p w14:paraId="486FD19E" w14:textId="77777777" w:rsidR="00E573FC" w:rsidRDefault="00E573FC" w:rsidP="00313338">
            <w:pPr>
              <w:jc w:val="center"/>
            </w:pPr>
            <w:r>
              <w:rPr>
                <w:b/>
                <w:bCs/>
                <w:color w:val="FFFFFF"/>
              </w:rPr>
              <w:t>S11</w:t>
            </w:r>
          </w:p>
        </w:tc>
        <w:tc>
          <w:tcPr>
            <w:tcW w:w="512" w:type="dxa"/>
            <w:shd w:val="clear" w:color="auto" w:fill="404040"/>
            <w:tcMar>
              <w:top w:w="80" w:type="dxa"/>
              <w:left w:w="100" w:type="dxa"/>
              <w:bottom w:w="80" w:type="dxa"/>
              <w:right w:w="100" w:type="dxa"/>
            </w:tcMar>
            <w:vAlign w:val="center"/>
          </w:tcPr>
          <w:p w14:paraId="04C9857A" w14:textId="77777777" w:rsidR="00E573FC" w:rsidRDefault="00E573FC" w:rsidP="00313338">
            <w:pPr>
              <w:jc w:val="center"/>
            </w:pPr>
            <w:r>
              <w:rPr>
                <w:b/>
                <w:bCs/>
                <w:color w:val="FFFFFF"/>
              </w:rPr>
              <w:t>S12</w:t>
            </w:r>
          </w:p>
        </w:tc>
        <w:tc>
          <w:tcPr>
            <w:tcW w:w="512" w:type="dxa"/>
            <w:shd w:val="clear" w:color="auto" w:fill="404040"/>
            <w:tcMar>
              <w:top w:w="80" w:type="dxa"/>
              <w:left w:w="100" w:type="dxa"/>
              <w:bottom w:w="80" w:type="dxa"/>
              <w:right w:w="100" w:type="dxa"/>
            </w:tcMar>
            <w:vAlign w:val="center"/>
          </w:tcPr>
          <w:p w14:paraId="42123C16" w14:textId="77777777" w:rsidR="00E573FC" w:rsidRDefault="00E573FC" w:rsidP="00313338">
            <w:pPr>
              <w:jc w:val="center"/>
            </w:pPr>
            <w:r>
              <w:rPr>
                <w:b/>
                <w:bCs/>
                <w:color w:val="FFFFFF"/>
              </w:rPr>
              <w:t>S13</w:t>
            </w:r>
          </w:p>
        </w:tc>
        <w:tc>
          <w:tcPr>
            <w:tcW w:w="512" w:type="dxa"/>
            <w:shd w:val="clear" w:color="auto" w:fill="404040"/>
            <w:tcMar>
              <w:top w:w="80" w:type="dxa"/>
              <w:left w:w="100" w:type="dxa"/>
              <w:bottom w:w="80" w:type="dxa"/>
              <w:right w:w="100" w:type="dxa"/>
            </w:tcMar>
            <w:vAlign w:val="center"/>
          </w:tcPr>
          <w:p w14:paraId="5097FC9F" w14:textId="77777777" w:rsidR="00E573FC" w:rsidRDefault="00E573FC" w:rsidP="00313338">
            <w:pPr>
              <w:jc w:val="center"/>
            </w:pPr>
            <w:r>
              <w:rPr>
                <w:b/>
                <w:bCs/>
                <w:color w:val="FFFFFF"/>
              </w:rPr>
              <w:t>S14</w:t>
            </w:r>
          </w:p>
        </w:tc>
        <w:tc>
          <w:tcPr>
            <w:tcW w:w="512" w:type="dxa"/>
            <w:shd w:val="clear" w:color="auto" w:fill="404040"/>
            <w:tcMar>
              <w:top w:w="80" w:type="dxa"/>
              <w:left w:w="100" w:type="dxa"/>
              <w:bottom w:w="80" w:type="dxa"/>
              <w:right w:w="100" w:type="dxa"/>
            </w:tcMar>
            <w:vAlign w:val="center"/>
          </w:tcPr>
          <w:p w14:paraId="71C3376D" w14:textId="77777777" w:rsidR="00E573FC" w:rsidRDefault="00E573FC" w:rsidP="00313338">
            <w:pPr>
              <w:jc w:val="center"/>
            </w:pPr>
            <w:r>
              <w:rPr>
                <w:b/>
                <w:bCs/>
                <w:color w:val="FFFFFF"/>
              </w:rPr>
              <w:t>S15</w:t>
            </w:r>
          </w:p>
        </w:tc>
        <w:tc>
          <w:tcPr>
            <w:tcW w:w="512" w:type="dxa"/>
            <w:shd w:val="clear" w:color="auto" w:fill="404040"/>
            <w:tcMar>
              <w:top w:w="80" w:type="dxa"/>
              <w:left w:w="100" w:type="dxa"/>
              <w:bottom w:w="80" w:type="dxa"/>
              <w:right w:w="100" w:type="dxa"/>
            </w:tcMar>
            <w:vAlign w:val="center"/>
          </w:tcPr>
          <w:p w14:paraId="69323E5E" w14:textId="77777777" w:rsidR="00E573FC" w:rsidRDefault="00E573FC" w:rsidP="00313338">
            <w:pPr>
              <w:jc w:val="center"/>
            </w:pPr>
            <w:r>
              <w:rPr>
                <w:b/>
                <w:bCs/>
                <w:color w:val="FFFFFF"/>
              </w:rPr>
              <w:t>S16</w:t>
            </w:r>
          </w:p>
        </w:tc>
      </w:tr>
      <w:tr w:rsidR="00E573FC" w14:paraId="7DCBA8DD" w14:textId="77777777" w:rsidTr="00313338">
        <w:trPr>
          <w:trHeight w:val="340" w:hRule="atLeast"/>
        </w:trPr>
        <w:tc>
          <w:tcPr>
            <w:tcW w:w="425" w:type="dxa"/>
            <w:vAlign w:val="center"/>
            <w:tcMar>
              <w:top w:w="60" w:type="dxa"/>
              <w:bottom w:w="60" w:type="dxa"/>
              <w:left w:w="80" w:type="dxa"/>
              <w:right w:w="80" w:type="dxa"/>
            </w:tcMar>
          </w:tcPr>
          <w:p w14:paraId="66497599" w14:textId="77777777" w:rsidR="00E573FC" w:rsidRDefault="00E573FC" w:rsidP="00313338">
            <w:pPr>
              <w:jc w:val="center"/>
              <w:spacing w:line="360" w:lineRule="atLeast" w:after="0" w:before="0"/>
            </w:pPr>
            <w:r/>
            <w:r>
              <w:rPr>
                <w:rFonts w:ascii="Aptos" w:hAnsi="Aptos"/>
                <w:b w:val="0"/>
                <w:color w:val="000000"/>
                <w:sz w:val="18"/>
              </w:rPr>
              <w:t>1</w:t>
            </w:r>
          </w:p>
        </w:tc>
        <w:tc>
          <w:tcPr>
            <w:tcW w:w="1834" w:type="dxa"/>
            <w:vAlign w:val="center"/>
            <w:tcMar>
              <w:top w:w="60" w:type="dxa"/>
              <w:bottom w:w="60" w:type="dxa"/>
              <w:left w:w="80" w:type="dxa"/>
              <w:right w:w="80" w:type="dxa"/>
            </w:tcMar>
          </w:tcPr>
          <w:p w14:paraId="2B314F9E"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Reuniones iniciales con el supervisor y personal de DAIRA S.A.C. para conocer la empresa, sus áreas y las principales necesidades tecnológicas.</w:t>
            </w:r>
          </w:p>
        </w:tc>
        <w:tc>
          <w:tcPr>
            <w:tcW w:w="412" w:type="dxa"/>
            <w:vAlign w:val="center"/>
            <w:tcMar>
              <w:top w:w="60" w:type="dxa"/>
              <w:bottom w:w="60" w:type="dxa"/>
              <w:left w:w="60" w:type="dxa"/>
              <w:right w:w="60" w:type="dxa"/>
            </w:tcMar>
            <w:shd w:fill="4472C4"/>
          </w:tcPr>
          <w:p w14:paraId="1DC81C7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0F9DB2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C5A192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784A64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6EC680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65EE99F"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2354AE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1869CF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43F7F0C"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2F9E3B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7A20D7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EEC7A14"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114534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3CB373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612E95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E8E8D33" w14:textId="77777777" w:rsidR="00E573FC" w:rsidRDefault="00E573FC" w:rsidP="00313338">
            <w:pPr>
              <w:jc w:val="left"/>
              <w:spacing w:line="360" w:lineRule="atLeast" w:after="0" w:before="0"/>
            </w:pPr>
            <w:r/>
            <w:r>
              <w:rPr>
                <w:rFonts w:ascii="Aptos" w:hAnsi="Aptos"/>
                <w:b w:val="0"/>
                <w:color w:val="000000"/>
                <w:sz w:val="16"/>
              </w:rPr>
            </w:r>
          </w:p>
        </w:tc>
      </w:tr>
      <w:tr w:rsidR="00E573FC" w14:paraId="44B383A4" w14:textId="77777777" w:rsidTr="00313338">
        <w:trPr>
          <w:trHeight w:val="340" w:hRule="atLeast"/>
        </w:trPr>
        <w:tc>
          <w:tcPr>
            <w:tcW w:w="425" w:type="dxa"/>
            <w:vAlign w:val="center"/>
            <w:tcMar>
              <w:top w:w="60" w:type="dxa"/>
              <w:bottom w:w="60" w:type="dxa"/>
              <w:left w:w="80" w:type="dxa"/>
              <w:right w:w="80" w:type="dxa"/>
            </w:tcMar>
          </w:tcPr>
          <w:p w14:paraId="091A2BD0" w14:textId="77777777" w:rsidR="00E573FC" w:rsidRDefault="00E573FC" w:rsidP="00313338">
            <w:pPr>
              <w:jc w:val="center"/>
              <w:spacing w:line="360" w:lineRule="atLeast" w:after="0" w:before="0"/>
            </w:pPr>
            <w:r/>
            <w:r>
              <w:rPr>
                <w:rFonts w:ascii="Aptos" w:hAnsi="Aptos"/>
                <w:b w:val="0"/>
                <w:color w:val="000000"/>
                <w:sz w:val="18"/>
              </w:rPr>
              <w:t>2</w:t>
            </w:r>
          </w:p>
        </w:tc>
        <w:tc>
          <w:tcPr>
            <w:tcW w:w="1834" w:type="dxa"/>
            <w:vAlign w:val="center"/>
            <w:tcMar>
              <w:top w:w="60" w:type="dxa"/>
              <w:bottom w:w="60" w:type="dxa"/>
              <w:left w:w="80" w:type="dxa"/>
              <w:right w:w="80" w:type="dxa"/>
            </w:tcMar>
          </w:tcPr>
          <w:p w14:paraId="4C0F720D"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Entrevistas con los colaboradores del área contable e identificación de procesos críticos en la recepción y validación de comprobantes.</w:t>
            </w:r>
          </w:p>
        </w:tc>
        <w:tc>
          <w:tcPr>
            <w:tcW w:w="412" w:type="dxa"/>
            <w:vAlign w:val="center"/>
            <w:tcMar>
              <w:top w:w="60" w:type="dxa"/>
              <w:bottom w:w="60" w:type="dxa"/>
              <w:left w:w="60" w:type="dxa"/>
              <w:right w:w="60" w:type="dxa"/>
            </w:tcMar>
            <w:shd w:fill="FFFFFF"/>
          </w:tcPr>
          <w:p w14:paraId="07972C0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4472C4"/>
          </w:tcPr>
          <w:p w14:paraId="4D7FB63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77E615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6699FD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D252B3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5F85E8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44E868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38BD91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713037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F79D9F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0AB560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8105C6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6B6B48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A38DE0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2AAD94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F5D9895" w14:textId="77777777" w:rsidR="00E573FC" w:rsidRDefault="00E573FC" w:rsidP="00313338">
            <w:pPr>
              <w:jc w:val="left"/>
              <w:spacing w:line="360" w:lineRule="atLeast" w:after="0" w:before="0"/>
            </w:pPr>
            <w:r/>
            <w:r>
              <w:rPr>
                <w:rFonts w:ascii="Aptos" w:hAnsi="Aptos"/>
                <w:b w:val="0"/>
                <w:color w:val="000000"/>
                <w:sz w:val="16"/>
              </w:rPr>
            </w:r>
          </w:p>
        </w:tc>
      </w:tr>
      <w:tr w:rsidR="00E573FC" w14:paraId="74E9382A" w14:textId="77777777" w:rsidTr="00313338">
        <w:trPr>
          <w:trHeight w:val="340" w:hRule="atLeast"/>
        </w:trPr>
        <w:tc>
          <w:tcPr>
            <w:tcW w:w="425" w:type="dxa"/>
            <w:vAlign w:val="center"/>
            <w:tcMar>
              <w:top w:w="60" w:type="dxa"/>
              <w:bottom w:w="60" w:type="dxa"/>
              <w:left w:w="80" w:type="dxa"/>
              <w:right w:w="80" w:type="dxa"/>
            </w:tcMar>
          </w:tcPr>
          <w:p w14:paraId="35CDF9A1" w14:textId="77777777" w:rsidR="00E573FC" w:rsidRDefault="00E573FC" w:rsidP="00313338">
            <w:pPr>
              <w:jc w:val="center"/>
              <w:spacing w:line="360" w:lineRule="atLeast" w:after="0" w:before="0"/>
            </w:pPr>
            <w:r/>
            <w:r>
              <w:rPr>
                <w:rFonts w:ascii="Aptos" w:hAnsi="Aptos"/>
                <w:b w:val="0"/>
                <w:color w:val="000000"/>
                <w:sz w:val="18"/>
              </w:rPr>
              <w:t>3</w:t>
            </w:r>
          </w:p>
        </w:tc>
        <w:tc>
          <w:tcPr>
            <w:tcW w:w="1834" w:type="dxa"/>
            <w:vAlign w:val="center"/>
            <w:tcMar>
              <w:top w:w="60" w:type="dxa"/>
              <w:bottom w:w="60" w:type="dxa"/>
              <w:left w:w="80" w:type="dxa"/>
              <w:right w:w="80" w:type="dxa"/>
            </w:tcMar>
          </w:tcPr>
          <w:p w14:paraId="39EE612B"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Análisis del proceso actual de compras contables y validación ante SUNAT en DAIRA S.A.C. Definición del alcance del sistema web.</w:t>
            </w:r>
          </w:p>
        </w:tc>
        <w:tc>
          <w:tcPr>
            <w:tcW w:w="412" w:type="dxa"/>
            <w:vAlign w:val="center"/>
            <w:tcMar>
              <w:top w:w="60" w:type="dxa"/>
              <w:bottom w:w="60" w:type="dxa"/>
              <w:left w:w="60" w:type="dxa"/>
              <w:right w:w="60" w:type="dxa"/>
            </w:tcMar>
            <w:shd w:fill="FFFFFF"/>
          </w:tcPr>
          <w:p w14:paraId="091273A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3EACC7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4472C4"/>
          </w:tcPr>
          <w:p w14:paraId="01B3D1E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A88FD8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473507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6E2614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5BA092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CFCFD0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08488D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782143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44D7A3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B5649E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85DE60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54F775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4A1E66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210ADD3" w14:textId="77777777" w:rsidR="00E573FC" w:rsidRDefault="00E573FC" w:rsidP="00313338">
            <w:pPr>
              <w:jc w:val="left"/>
              <w:spacing w:line="360" w:lineRule="atLeast" w:after="0" w:before="0"/>
            </w:pPr>
            <w:r/>
            <w:r>
              <w:rPr>
                <w:rFonts w:ascii="Aptos" w:hAnsi="Aptos"/>
                <w:b w:val="0"/>
                <w:color w:val="000000"/>
                <w:sz w:val="16"/>
              </w:rPr>
            </w:r>
          </w:p>
        </w:tc>
      </w:tr>
      <w:tr w:rsidR="00E573FC" w14:paraId="1C4BE2FC" w14:textId="77777777" w:rsidTr="00313338">
        <w:trPr>
          <w:trHeight w:val="340" w:hRule="atLeast"/>
        </w:trPr>
        <w:tc>
          <w:tcPr>
            <w:tcW w:w="425" w:type="dxa"/>
            <w:vAlign w:val="center"/>
            <w:tcMar>
              <w:top w:w="60" w:type="dxa"/>
              <w:bottom w:w="60" w:type="dxa"/>
              <w:left w:w="80" w:type="dxa"/>
              <w:right w:w="80" w:type="dxa"/>
            </w:tcMar>
          </w:tcPr>
          <w:p w14:paraId="321C8C29" w14:textId="77777777" w:rsidR="00E573FC" w:rsidRDefault="00E573FC" w:rsidP="00313338">
            <w:pPr>
              <w:jc w:val="center"/>
              <w:spacing w:line="360" w:lineRule="atLeast" w:after="0" w:before="0"/>
            </w:pPr>
            <w:r/>
            <w:r>
              <w:rPr>
                <w:rFonts w:ascii="Aptos" w:hAnsi="Aptos"/>
                <w:b w:val="0"/>
                <w:color w:val="000000"/>
                <w:sz w:val="18"/>
              </w:rPr>
              <w:t>4</w:t>
            </w:r>
          </w:p>
        </w:tc>
        <w:tc>
          <w:tcPr>
            <w:tcW w:w="1834" w:type="dxa"/>
            <w:vAlign w:val="center"/>
            <w:tcMar>
              <w:top w:w="60" w:type="dxa"/>
              <w:bottom w:w="60" w:type="dxa"/>
              <w:left w:w="80" w:type="dxa"/>
              <w:right w:w="80" w:type="dxa"/>
            </w:tcMar>
          </w:tcPr>
          <w:p w14:paraId="0C39BFC3"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Diseño de la arquitectura tecnológica (FastAPI, React, PostgreSQL, Docker) y modelo de datos del sistema web.</w:t>
            </w:r>
          </w:p>
        </w:tc>
        <w:tc>
          <w:tcPr>
            <w:tcW w:w="412" w:type="dxa"/>
            <w:vAlign w:val="center"/>
            <w:tcMar>
              <w:top w:w="60" w:type="dxa"/>
              <w:bottom w:w="60" w:type="dxa"/>
              <w:left w:w="60" w:type="dxa"/>
              <w:right w:w="60" w:type="dxa"/>
            </w:tcMar>
            <w:shd w:fill="FFFFFF"/>
          </w:tcPr>
          <w:p w14:paraId="1E7E5E8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0FD2DD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BD4984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4472C4"/>
          </w:tcPr>
          <w:p w14:paraId="65E2A95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3876EB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DAFED0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123F68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BB4CD7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23A375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E694BE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8910A0C"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F3B4C6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0EE96F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C220DC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17807F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4D5E201" w14:textId="77777777" w:rsidR="00E573FC" w:rsidRDefault="00E573FC" w:rsidP="00313338">
            <w:pPr>
              <w:jc w:val="left"/>
              <w:spacing w:line="360" w:lineRule="atLeast" w:after="0" w:before="0"/>
            </w:pPr>
            <w:r/>
            <w:r>
              <w:rPr>
                <w:rFonts w:ascii="Aptos" w:hAnsi="Aptos"/>
                <w:b w:val="0"/>
                <w:color w:val="000000"/>
                <w:sz w:val="16"/>
              </w:rPr>
            </w:r>
          </w:p>
        </w:tc>
      </w:tr>
      <w:tr w:rsidR="00E573FC" w14:paraId="70DEBADE" w14:textId="77777777" w:rsidTr="00313338">
        <w:trPr>
          <w:trHeight w:val="340" w:hRule="atLeast"/>
        </w:trPr>
        <w:tc>
          <w:tcPr>
            <w:tcW w:w="425" w:type="dxa"/>
            <w:vAlign w:val="center"/>
            <w:tcMar>
              <w:top w:w="60" w:type="dxa"/>
              <w:bottom w:w="60" w:type="dxa"/>
              <w:left w:w="80" w:type="dxa"/>
              <w:right w:w="80" w:type="dxa"/>
            </w:tcMar>
          </w:tcPr>
          <w:p w14:paraId="264F8DE1" w14:textId="77777777" w:rsidR="00E573FC" w:rsidRDefault="00E573FC" w:rsidP="00313338">
            <w:pPr>
              <w:jc w:val="center"/>
              <w:spacing w:line="360" w:lineRule="atLeast" w:after="0" w:before="0"/>
            </w:pPr>
            <w:r/>
            <w:r>
              <w:rPr>
                <w:rFonts w:ascii="Aptos" w:hAnsi="Aptos"/>
                <w:b w:val="0"/>
                <w:color w:val="000000"/>
                <w:sz w:val="18"/>
              </w:rPr>
              <w:t>5</w:t>
            </w:r>
          </w:p>
        </w:tc>
        <w:tc>
          <w:tcPr>
            <w:tcW w:w="1834" w:type="dxa"/>
            <w:vAlign w:val="center"/>
            <w:tcMar>
              <w:top w:w="60" w:type="dxa"/>
              <w:bottom w:w="60" w:type="dxa"/>
              <w:left w:w="80" w:type="dxa"/>
              <w:right w:w="80" w:type="dxa"/>
            </w:tcMar>
          </w:tcPr>
          <w:p w14:paraId="5502AA48"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Configuración del entorno de desarrollo compartido, contenedores Docker, base de datos PostgreSQL, estructura base del backend y frontend.</w:t>
            </w:r>
          </w:p>
        </w:tc>
        <w:tc>
          <w:tcPr>
            <w:tcW w:w="412" w:type="dxa"/>
            <w:vAlign w:val="center"/>
            <w:tcMar>
              <w:top w:w="60" w:type="dxa"/>
              <w:bottom w:w="60" w:type="dxa"/>
              <w:left w:w="60" w:type="dxa"/>
              <w:right w:w="60" w:type="dxa"/>
            </w:tcMar>
            <w:shd w:fill="FFFFFF"/>
          </w:tcPr>
          <w:p w14:paraId="624B792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474983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7FFC91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AD2A57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7E238B5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4A58E3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E4D35A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30F726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2A4982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F6D2B7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A29604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05F2CE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E4B759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FEACE2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DF2FBF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DB9181B" w14:textId="77777777" w:rsidR="00E573FC" w:rsidRDefault="00E573FC" w:rsidP="00313338">
            <w:pPr>
              <w:jc w:val="left"/>
              <w:spacing w:line="360" w:lineRule="atLeast" w:after="0" w:before="0"/>
            </w:pPr>
            <w:r/>
            <w:r>
              <w:rPr>
                <w:rFonts w:ascii="Aptos" w:hAnsi="Aptos"/>
                <w:b w:val="0"/>
                <w:color w:val="000000"/>
                <w:sz w:val="16"/>
              </w:rPr>
            </w:r>
          </w:p>
        </w:tc>
      </w:tr>
      <w:tr w:rsidR="00E573FC" w14:paraId="77761DE9" w14:textId="77777777" w:rsidTr="00313338">
        <w:trPr>
          <w:trHeight w:val="340" w:hRule="atLeast"/>
        </w:trPr>
        <w:tc>
          <w:tcPr>
            <w:tcW w:w="425" w:type="dxa"/>
            <w:vAlign w:val="center"/>
            <w:tcMar>
              <w:top w:w="60" w:type="dxa"/>
              <w:bottom w:w="60" w:type="dxa"/>
              <w:left w:w="80" w:type="dxa"/>
              <w:right w:w="80" w:type="dxa"/>
            </w:tcMar>
          </w:tcPr>
          <w:p w14:paraId="2BB3C89E" w14:textId="77777777" w:rsidR="00E573FC" w:rsidRDefault="00E573FC" w:rsidP="00313338">
            <w:pPr>
              <w:jc w:val="center"/>
              <w:spacing w:line="360" w:lineRule="atLeast" w:after="0" w:before="0"/>
            </w:pPr>
            <w:r/>
            <w:r>
              <w:rPr>
                <w:rFonts w:ascii="Aptos" w:hAnsi="Aptos"/>
                <w:b w:val="0"/>
                <w:color w:val="000000"/>
                <w:sz w:val="18"/>
              </w:rPr>
              <w:t>6</w:t>
            </w:r>
          </w:p>
        </w:tc>
        <w:tc>
          <w:tcPr>
            <w:tcW w:w="1834" w:type="dxa"/>
            <w:vAlign w:val="center"/>
            <w:tcMar>
              <w:top w:w="60" w:type="dxa"/>
              <w:bottom w:w="60" w:type="dxa"/>
              <w:left w:w="80" w:type="dxa"/>
              <w:right w:w="80" w:type="dxa"/>
            </w:tcMar>
          </w:tcPr>
          <w:p w14:paraId="2B241384"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Implementación de la integración con el servicio oficial de autenticación de SUNAT mediante OAuth2 (client_credentials) y gestión de caché de tokens.</w:t>
            </w:r>
          </w:p>
        </w:tc>
        <w:tc>
          <w:tcPr>
            <w:tcW w:w="412" w:type="dxa"/>
            <w:vAlign w:val="center"/>
            <w:tcMar>
              <w:top w:w="60" w:type="dxa"/>
              <w:bottom w:w="60" w:type="dxa"/>
              <w:left w:w="60" w:type="dxa"/>
              <w:right w:w="60" w:type="dxa"/>
            </w:tcMar>
            <w:shd w:fill="FFFFFF"/>
          </w:tcPr>
          <w:p w14:paraId="220D78AF"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9DBA13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9C4E4C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189242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53B88E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68002FB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A32FD2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126CF8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8F472B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4E2B0C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7A570C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0E4670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550234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E65F7B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8DD05AA"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22F30F6" w14:textId="77777777" w:rsidR="00E573FC" w:rsidRDefault="00E573FC" w:rsidP="00313338">
            <w:pPr>
              <w:jc w:val="left"/>
              <w:spacing w:line="360" w:lineRule="atLeast" w:after="0" w:before="0"/>
            </w:pPr>
            <w:r/>
            <w:r>
              <w:rPr>
                <w:rFonts w:ascii="Aptos" w:hAnsi="Aptos"/>
                <w:b w:val="0"/>
                <w:color w:val="000000"/>
                <w:sz w:val="16"/>
              </w:rPr>
            </w:r>
          </w:p>
        </w:tc>
      </w:tr>
      <w:tr w:rsidR="00E573FC" w14:paraId="67906E28" w14:textId="77777777" w:rsidTr="00313338">
        <w:trPr>
          <w:trHeight w:val="340" w:hRule="atLeast"/>
        </w:trPr>
        <w:tc>
          <w:tcPr>
            <w:tcW w:w="425" w:type="dxa"/>
            <w:vAlign w:val="center"/>
            <w:tcMar>
              <w:top w:w="60" w:type="dxa"/>
              <w:bottom w:w="60" w:type="dxa"/>
              <w:left w:w="80" w:type="dxa"/>
              <w:right w:w="80" w:type="dxa"/>
            </w:tcMar>
          </w:tcPr>
          <w:p w14:paraId="09667DF7" w14:textId="77777777" w:rsidR="00E573FC" w:rsidRDefault="00E573FC" w:rsidP="00313338">
            <w:pPr>
              <w:jc w:val="center"/>
              <w:spacing w:line="360" w:lineRule="atLeast" w:after="0" w:before="0"/>
            </w:pPr>
            <w:r/>
            <w:r>
              <w:rPr>
                <w:rFonts w:ascii="Aptos" w:hAnsi="Aptos"/>
                <w:b w:val="0"/>
                <w:color w:val="000000"/>
                <w:sz w:val="18"/>
              </w:rPr>
              <w:t>7</w:t>
            </w:r>
          </w:p>
        </w:tc>
        <w:tc>
          <w:tcPr>
            <w:tcW w:w="1834" w:type="dxa"/>
            <w:vAlign w:val="center"/>
            <w:tcMar>
              <w:top w:w="60" w:type="dxa"/>
              <w:bottom w:w="60" w:type="dxa"/>
              <w:left w:w="80" w:type="dxa"/>
              <w:right w:w="80" w:type="dxa"/>
            </w:tcMar>
          </w:tcPr>
          <w:p w14:paraId="3BFB2C32"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Desarrollo del módulo de consulta individual de validez de comprobantes en tiempo real ante el Web Service de SUNAT y persistencia de resultados.</w:t>
            </w:r>
          </w:p>
        </w:tc>
        <w:tc>
          <w:tcPr>
            <w:tcW w:w="412" w:type="dxa"/>
            <w:vAlign w:val="center"/>
            <w:tcMar>
              <w:top w:w="60" w:type="dxa"/>
              <w:bottom w:w="60" w:type="dxa"/>
              <w:left w:w="60" w:type="dxa"/>
              <w:right w:w="60" w:type="dxa"/>
            </w:tcMar>
            <w:shd w:fill="FFFFFF"/>
          </w:tcPr>
          <w:p w14:paraId="2DDB4E3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15525F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A9F651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FF5880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96F831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605562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45C6407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1A35D6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343529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8C5708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97BECC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237451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D616E8C"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DDAD4B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F203571"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1AF27A2" w14:textId="77777777" w:rsidR="00E573FC" w:rsidRDefault="00E573FC" w:rsidP="00313338">
            <w:pPr>
              <w:jc w:val="left"/>
              <w:spacing w:line="360" w:lineRule="atLeast" w:after="0" w:before="0"/>
            </w:pPr>
            <w:r/>
            <w:r>
              <w:rPr>
                <w:rFonts w:ascii="Aptos" w:hAnsi="Aptos"/>
                <w:b w:val="0"/>
                <w:color w:val="000000"/>
                <w:sz w:val="16"/>
              </w:rPr>
            </w:r>
          </w:p>
        </w:tc>
      </w:tr>
      <w:tr w:rsidR="00E573FC" w14:paraId="1A7C113D" w14:textId="77777777" w:rsidTr="00313338">
        <w:trPr>
          <w:trHeight w:val="340" w:hRule="atLeast"/>
        </w:trPr>
        <w:tc>
          <w:tcPr>
            <w:tcW w:w="425" w:type="dxa"/>
            <w:vAlign w:val="center"/>
            <w:tcMar>
              <w:top w:w="60" w:type="dxa"/>
              <w:bottom w:w="60" w:type="dxa"/>
              <w:left w:w="80" w:type="dxa"/>
              <w:right w:w="80" w:type="dxa"/>
            </w:tcMar>
          </w:tcPr>
          <w:p w14:paraId="2ADEDB8F" w14:textId="77777777" w:rsidR="00E573FC" w:rsidRDefault="00E573FC" w:rsidP="00313338">
            <w:pPr>
              <w:jc w:val="center"/>
              <w:spacing w:line="360" w:lineRule="atLeast" w:after="0" w:before="0"/>
            </w:pPr>
            <w:r/>
            <w:r>
              <w:rPr>
                <w:rFonts w:ascii="Aptos" w:hAnsi="Aptos"/>
                <w:b w:val="0"/>
                <w:color w:val="000000"/>
                <w:sz w:val="18"/>
              </w:rPr>
              <w:t>8</w:t>
            </w:r>
          </w:p>
        </w:tc>
        <w:tc>
          <w:tcPr>
            <w:tcW w:w="1834" w:type="dxa"/>
            <w:vAlign w:val="center"/>
            <w:tcMar>
              <w:top w:w="60" w:type="dxa"/>
              <w:bottom w:w="60" w:type="dxa"/>
              <w:left w:w="80" w:type="dxa"/>
              <w:right w:w="80" w:type="dxa"/>
            </w:tcMar>
          </w:tcPr>
          <w:p w14:paraId="4299CD6C"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Implementación de la recepción del lote preparado, persistencia de procesos masivos (ProcesoMasivo, ProcesoMasivoItem) y control de idempotencia.</w:t>
            </w:r>
          </w:p>
        </w:tc>
        <w:tc>
          <w:tcPr>
            <w:tcW w:w="412" w:type="dxa"/>
            <w:vAlign w:val="center"/>
            <w:tcMar>
              <w:top w:w="60" w:type="dxa"/>
              <w:bottom w:w="60" w:type="dxa"/>
              <w:left w:w="60" w:type="dxa"/>
              <w:right w:w="60" w:type="dxa"/>
            </w:tcMar>
            <w:shd w:fill="FFFFFF"/>
          </w:tcPr>
          <w:p w14:paraId="216A853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E859F2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737143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70EC67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CE17AB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12D4EA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22FB296"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5AE314B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49F4DE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E7BABE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97F47E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2F5B07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680DA9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84EC6A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1268D9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F12ACCD" w14:textId="77777777" w:rsidR="00E573FC" w:rsidRDefault="00E573FC" w:rsidP="00313338">
            <w:pPr>
              <w:jc w:val="left"/>
              <w:spacing w:line="360" w:lineRule="atLeast" w:after="0" w:before="0"/>
            </w:pPr>
            <w:r/>
            <w:r>
              <w:rPr>
                <w:rFonts w:ascii="Aptos" w:hAnsi="Aptos"/>
                <w:b w:val="0"/>
                <w:color w:val="000000"/>
                <w:sz w:val="16"/>
              </w:rPr>
            </w:r>
          </w:p>
        </w:tc>
      </w:tr>
      <w:tr w:rsidR="00E573FC" w14:paraId="0FBAD62B" w14:textId="77777777" w:rsidTr="00313338">
        <w:trPr>
          <w:trHeight w:val="340" w:hRule="atLeast"/>
        </w:trPr>
        <w:tc>
          <w:tcPr>
            <w:tcW w:w="425" w:type="dxa"/>
            <w:vAlign w:val="center"/>
            <w:tcMar>
              <w:top w:w="60" w:type="dxa"/>
              <w:bottom w:w="60" w:type="dxa"/>
              <w:left w:w="80" w:type="dxa"/>
              <w:right w:w="80" w:type="dxa"/>
            </w:tcMar>
          </w:tcPr>
          <w:p w14:paraId="24ADFFB1" w14:textId="77777777" w:rsidR="00E573FC" w:rsidRDefault="00E573FC" w:rsidP="00313338">
            <w:pPr>
              <w:jc w:val="center"/>
              <w:spacing w:line="360" w:lineRule="atLeast" w:after="0" w:before="0"/>
            </w:pPr>
            <w:r/>
            <w:r>
              <w:rPr>
                <w:rFonts w:ascii="Aptos" w:hAnsi="Aptos"/>
                <w:b w:val="0"/>
                <w:color w:val="000000"/>
                <w:sz w:val="18"/>
              </w:rPr>
              <w:t>9</w:t>
            </w:r>
          </w:p>
        </w:tc>
        <w:tc>
          <w:tcPr>
            <w:tcW w:w="1834" w:type="dxa"/>
            <w:vAlign w:val="center"/>
            <w:tcMar>
              <w:top w:w="60" w:type="dxa"/>
              <w:bottom w:w="60" w:type="dxa"/>
              <w:left w:w="80" w:type="dxa"/>
              <w:right w:w="80" w:type="dxa"/>
            </w:tcMar>
          </w:tcPr>
          <w:p w14:paraId="4236FB6C"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Desarrollo del worker asíncrono en segundo plano con control de concurrencia (asyncio.Semaphore), delays inter-request y políticas de reintentos inteligentes.</w:t>
            </w:r>
          </w:p>
        </w:tc>
        <w:tc>
          <w:tcPr>
            <w:tcW w:w="412" w:type="dxa"/>
            <w:vAlign w:val="center"/>
            <w:tcMar>
              <w:top w:w="60" w:type="dxa"/>
              <w:bottom w:w="60" w:type="dxa"/>
              <w:left w:w="60" w:type="dxa"/>
              <w:right w:w="60" w:type="dxa"/>
            </w:tcMar>
            <w:shd w:fill="FFFFFF"/>
          </w:tcPr>
          <w:p w14:paraId="52583B1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DDEFD6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EAC266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D4AB41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5EB61F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21A46E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51FD826"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1B412C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156082"/>
          </w:tcPr>
          <w:p w14:paraId="4441487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786C85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8C07EC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BCC9BF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3874BD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876129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4B2D77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C017A39" w14:textId="77777777" w:rsidR="00E573FC" w:rsidRDefault="00E573FC" w:rsidP="00313338">
            <w:pPr>
              <w:jc w:val="left"/>
              <w:spacing w:line="360" w:lineRule="atLeast" w:after="0" w:before="0"/>
            </w:pPr>
            <w:r/>
            <w:r>
              <w:rPr>
                <w:rFonts w:ascii="Aptos" w:hAnsi="Aptos"/>
                <w:b w:val="0"/>
                <w:color w:val="000000"/>
                <w:sz w:val="16"/>
              </w:rPr>
            </w:r>
          </w:p>
        </w:tc>
      </w:tr>
      <w:tr w:rsidR="00E573FC" w14:paraId="7100C625" w14:textId="77777777" w:rsidTr="00313338">
        <w:trPr>
          <w:trHeight w:val="340" w:hRule="atLeast"/>
        </w:trPr>
        <w:tc>
          <w:tcPr>
            <w:tcW w:w="425" w:type="dxa"/>
            <w:vAlign w:val="center"/>
            <w:tcMar>
              <w:top w:w="60" w:type="dxa"/>
              <w:bottom w:w="60" w:type="dxa"/>
              <w:left w:w="80" w:type="dxa"/>
              <w:right w:w="80" w:type="dxa"/>
            </w:tcMar>
          </w:tcPr>
          <w:p w14:paraId="0DB6F409" w14:textId="77777777" w:rsidR="00E573FC" w:rsidRDefault="00E573FC" w:rsidP="00313338">
            <w:pPr>
              <w:jc w:val="center"/>
              <w:spacing w:line="360" w:lineRule="atLeast" w:after="0" w:before="0"/>
            </w:pPr>
            <w:r/>
            <w:r>
              <w:rPr>
                <w:rFonts w:ascii="Aptos" w:hAnsi="Aptos"/>
                <w:b w:val="0"/>
                <w:color w:val="000000"/>
                <w:sz w:val="18"/>
              </w:rPr>
              <w:t>10</w:t>
            </w:r>
          </w:p>
        </w:tc>
        <w:tc>
          <w:tcPr>
            <w:tcW w:w="1834" w:type="dxa"/>
            <w:vAlign w:val="center"/>
            <w:tcMar>
              <w:top w:w="60" w:type="dxa"/>
              <w:bottom w:w="60" w:type="dxa"/>
              <w:left w:w="80" w:type="dxa"/>
              <w:right w:w="80" w:type="dxa"/>
            </w:tcMar>
          </w:tcPr>
          <w:p w14:paraId="3EBCAA87"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Implementación del motor de decodificación normativa de respuestas oficiales de SUNAT (estadoCp, estadoRuc, condDomiRuc) y clasificación unificada.</w:t>
            </w:r>
          </w:p>
        </w:tc>
        <w:tc>
          <w:tcPr>
            <w:tcW w:w="412" w:type="dxa"/>
            <w:vAlign w:val="center"/>
            <w:tcMar>
              <w:top w:w="60" w:type="dxa"/>
              <w:bottom w:w="60" w:type="dxa"/>
              <w:left w:w="60" w:type="dxa"/>
              <w:right w:w="60" w:type="dxa"/>
            </w:tcMar>
            <w:shd w:fill="FFFFFF"/>
          </w:tcPr>
          <w:p w14:paraId="66E6CBC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F2500E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9A0E68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CB7A00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B82289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B5C2E2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A636D5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365FD3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AB00EA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7F30120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230C18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37D455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7DADB3A"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218FCC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3A5A3A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483026C" w14:textId="77777777" w:rsidR="00E573FC" w:rsidRDefault="00E573FC" w:rsidP="00313338">
            <w:pPr>
              <w:jc w:val="left"/>
              <w:spacing w:line="360" w:lineRule="atLeast" w:after="0" w:before="0"/>
            </w:pPr>
            <w:r/>
            <w:r>
              <w:rPr>
                <w:rFonts w:ascii="Aptos" w:hAnsi="Aptos"/>
                <w:b w:val="0"/>
                <w:color w:val="000000"/>
                <w:sz w:val="16"/>
              </w:rPr>
            </w:r>
          </w:p>
        </w:tc>
      </w:tr>
      <w:tr w:rsidR="00E573FC" w14:paraId="4FFE7AEE" w14:textId="77777777" w:rsidTr="00313338">
        <w:trPr>
          <w:trHeight w:val="340" w:hRule="atLeast"/>
        </w:trPr>
        <w:tc>
          <w:tcPr>
            <w:tcW w:w="425" w:type="dxa"/>
            <w:vAlign w:val="center"/>
            <w:tcMar>
              <w:top w:w="60" w:type="dxa"/>
              <w:bottom w:w="60" w:type="dxa"/>
              <w:left w:w="80" w:type="dxa"/>
              <w:right w:w="80" w:type="dxa"/>
            </w:tcMar>
          </w:tcPr>
          <w:p w14:paraId="45BE5C46" w14:textId="77777777" w:rsidR="00E573FC" w:rsidRDefault="00E573FC" w:rsidP="00313338">
            <w:pPr>
              <w:jc w:val="center"/>
              <w:spacing w:line="360" w:lineRule="atLeast" w:after="0" w:before="0"/>
            </w:pPr>
            <w:r/>
            <w:r>
              <w:rPr>
                <w:rFonts w:ascii="Aptos" w:hAnsi="Aptos"/>
                <w:b w:val="0"/>
                <w:color w:val="000000"/>
                <w:sz w:val="18"/>
              </w:rPr>
              <w:t>11</w:t>
            </w:r>
          </w:p>
        </w:tc>
        <w:tc>
          <w:tcPr>
            <w:tcW w:w="1834" w:type="dxa"/>
            <w:vAlign w:val="center"/>
            <w:tcMar>
              <w:top w:w="60" w:type="dxa"/>
              <w:bottom w:w="60" w:type="dxa"/>
              <w:left w:w="80" w:type="dxa"/>
              <w:right w:w="80" w:type="dxa"/>
            </w:tcMar>
          </w:tcPr>
          <w:p w14:paraId="32E6B363"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Desarrollo del módulo de reintento focalizado de comprobantes con error técnico, historial de consultas con filtros avanzados y vista de detalle.</w:t>
            </w:r>
          </w:p>
        </w:tc>
        <w:tc>
          <w:tcPr>
            <w:tcW w:w="412" w:type="dxa"/>
            <w:vAlign w:val="center"/>
            <w:tcMar>
              <w:top w:w="60" w:type="dxa"/>
              <w:bottom w:w="60" w:type="dxa"/>
              <w:left w:w="60" w:type="dxa"/>
              <w:right w:w="60" w:type="dxa"/>
            </w:tcMar>
            <w:shd w:fill="FFFFFF"/>
          </w:tcPr>
          <w:p w14:paraId="577C9B2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2591E3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FE988F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D3822C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D9BFFB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4AE093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3A5495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6FC7DA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F6E509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6162BD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6B9C840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E83330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A4A607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262F6D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9A37E0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025AA2E" w14:textId="77777777" w:rsidR="00E573FC" w:rsidRDefault="00E573FC" w:rsidP="00313338">
            <w:pPr>
              <w:jc w:val="left"/>
              <w:spacing w:line="360" w:lineRule="atLeast" w:after="0" w:before="0"/>
            </w:pPr>
            <w:r/>
            <w:r>
              <w:rPr>
                <w:rFonts w:ascii="Aptos" w:hAnsi="Aptos"/>
                <w:b w:val="0"/>
                <w:color w:val="000000"/>
                <w:sz w:val="16"/>
              </w:rPr>
            </w:r>
          </w:p>
        </w:tc>
      </w:tr>
      <w:tr w:rsidR="00E573FC" w14:paraId="2DAAE73B" w14:textId="77777777" w:rsidTr="00313338">
        <w:trPr>
          <w:trHeight w:val="340" w:hRule="atLeast"/>
        </w:trPr>
        <w:tc>
          <w:tcPr>
            <w:tcW w:w="425" w:type="dxa"/>
            <w:vAlign w:val="center"/>
            <w:tcMar>
              <w:top w:w="60" w:type="dxa"/>
              <w:bottom w:w="60" w:type="dxa"/>
              <w:left w:w="80" w:type="dxa"/>
              <w:right w:w="80" w:type="dxa"/>
            </w:tcMar>
          </w:tcPr>
          <w:p w14:paraId="70BEDC97" w14:textId="77777777" w:rsidR="00E573FC" w:rsidRDefault="00E573FC" w:rsidP="00313338">
            <w:pPr>
              <w:jc w:val="center"/>
              <w:spacing w:line="360" w:lineRule="atLeast" w:after="0" w:before="0"/>
            </w:pPr>
            <w:r/>
            <w:r>
              <w:rPr>
                <w:rFonts w:ascii="Aptos" w:hAnsi="Aptos"/>
                <w:b w:val="0"/>
                <w:color w:val="000000"/>
                <w:sz w:val="18"/>
              </w:rPr>
              <w:t>12</w:t>
            </w:r>
          </w:p>
        </w:tc>
        <w:tc>
          <w:tcPr>
            <w:tcW w:w="1834" w:type="dxa"/>
            <w:vAlign w:val="center"/>
            <w:tcMar>
              <w:top w:w="60" w:type="dxa"/>
              <w:bottom w:w="60" w:type="dxa"/>
              <w:left w:w="80" w:type="dxa"/>
              <w:right w:w="80" w:type="dxa"/>
            </w:tcMar>
          </w:tcPr>
          <w:p w14:paraId="65218EC7"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Desarrollo del Dashboard estadístico de resultados tributarios en PostgreSQL, exportación de reportes oficiales a Excel (.xlsx) y auditoría inmutable.</w:t>
            </w:r>
          </w:p>
        </w:tc>
        <w:tc>
          <w:tcPr>
            <w:tcW w:w="412" w:type="dxa"/>
            <w:vAlign w:val="center"/>
            <w:tcMar>
              <w:top w:w="60" w:type="dxa"/>
              <w:bottom w:w="60" w:type="dxa"/>
              <w:left w:w="60" w:type="dxa"/>
              <w:right w:w="60" w:type="dxa"/>
            </w:tcMar>
            <w:shd w:fill="FFFFFF"/>
          </w:tcPr>
          <w:p w14:paraId="536F674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3DAA3E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5CDBD5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0E57AE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EA9215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97131F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696BA6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F78F96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F058A6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29CBB3C"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1C7D0C1"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69A03B93"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31A70D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867AAF0"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C15BA4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8988173" w14:textId="77777777" w:rsidR="00E573FC" w:rsidRDefault="00E573FC" w:rsidP="00313338">
            <w:pPr>
              <w:jc w:val="left"/>
              <w:spacing w:line="360" w:lineRule="atLeast" w:after="0" w:before="0"/>
            </w:pPr>
            <w:r/>
            <w:r>
              <w:rPr>
                <w:rFonts w:ascii="Aptos" w:hAnsi="Aptos"/>
                <w:b w:val="0"/>
                <w:color w:val="000000"/>
                <w:sz w:val="16"/>
              </w:rPr>
            </w:r>
          </w:p>
        </w:tc>
      </w:tr>
      <w:tr w:rsidR="00E573FC" w14:paraId="78DF84BC" w14:textId="77777777" w:rsidTr="00313338">
        <w:trPr>
          <w:trHeight w:val="340" w:hRule="atLeast"/>
        </w:trPr>
        <w:tc>
          <w:tcPr>
            <w:tcW w:w="425" w:type="dxa"/>
            <w:vAlign w:val="center"/>
            <w:tcMar>
              <w:top w:w="60" w:type="dxa"/>
              <w:bottom w:w="60" w:type="dxa"/>
              <w:left w:w="80" w:type="dxa"/>
              <w:right w:w="80" w:type="dxa"/>
            </w:tcMar>
          </w:tcPr>
          <w:p w14:paraId="10757CBB" w14:textId="77777777" w:rsidR="00E573FC" w:rsidRDefault="00E573FC" w:rsidP="00313338">
            <w:pPr>
              <w:jc w:val="center"/>
              <w:spacing w:line="360" w:lineRule="atLeast" w:after="0" w:before="0"/>
            </w:pPr>
            <w:r/>
            <w:r>
              <w:rPr>
                <w:rFonts w:ascii="Aptos" w:hAnsi="Aptos"/>
                <w:b w:val="0"/>
                <w:color w:val="000000"/>
                <w:sz w:val="18"/>
              </w:rPr>
              <w:t>13</w:t>
            </w:r>
          </w:p>
        </w:tc>
        <w:tc>
          <w:tcPr>
            <w:tcW w:w="1834" w:type="dxa"/>
            <w:vAlign w:val="center"/>
            <w:tcMar>
              <w:top w:w="60" w:type="dxa"/>
              <w:bottom w:w="60" w:type="dxa"/>
              <w:left w:w="80" w:type="dxa"/>
              <w:right w:w="80" w:type="dxa"/>
            </w:tcMar>
          </w:tcPr>
          <w:p w14:paraId="063ED18D"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Pruebas de integración entre el módulo de preparación de comprobantes (Módulo 1) y el módulo de validación masiva SUNAT (Módulo 2), corrección de observaciones.</w:t>
            </w:r>
          </w:p>
        </w:tc>
        <w:tc>
          <w:tcPr>
            <w:tcW w:w="412" w:type="dxa"/>
            <w:vAlign w:val="center"/>
            <w:tcMar>
              <w:top w:w="60" w:type="dxa"/>
              <w:bottom w:w="60" w:type="dxa"/>
              <w:left w:w="60" w:type="dxa"/>
              <w:right w:w="60" w:type="dxa"/>
            </w:tcMar>
            <w:shd w:fill="FFFFFF"/>
          </w:tcPr>
          <w:p w14:paraId="32F9C9D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3C2139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3776DF8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669023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5862A0E"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708388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16D339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55FEEB6"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C5575F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59B40E7"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0158BE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5A5CAC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5462142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1AC296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4BD63A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0A5EF71" w14:textId="77777777" w:rsidR="00E573FC" w:rsidRDefault="00E573FC" w:rsidP="00313338">
            <w:pPr>
              <w:jc w:val="left"/>
              <w:spacing w:line="360" w:lineRule="atLeast" w:after="0" w:before="0"/>
            </w:pPr>
            <w:r/>
            <w:r>
              <w:rPr>
                <w:rFonts w:ascii="Aptos" w:hAnsi="Aptos"/>
                <w:b w:val="0"/>
                <w:color w:val="000000"/>
                <w:sz w:val="16"/>
              </w:rPr>
            </w:r>
          </w:p>
        </w:tc>
      </w:tr>
      <w:tr w:rsidR="00E573FC" w14:paraId="202475E1" w14:textId="77777777" w:rsidTr="00313338">
        <w:trPr>
          <w:trHeight w:val="340" w:hRule="atLeast"/>
        </w:trPr>
        <w:tc>
          <w:tcPr>
            <w:tcW w:w="425" w:type="dxa"/>
            <w:vAlign w:val="center"/>
            <w:tcMar>
              <w:top w:w="60" w:type="dxa"/>
              <w:bottom w:w="60" w:type="dxa"/>
              <w:left w:w="80" w:type="dxa"/>
              <w:right w:w="80" w:type="dxa"/>
            </w:tcMar>
          </w:tcPr>
          <w:p w14:paraId="31F41377" w14:textId="77777777" w:rsidR="00E573FC" w:rsidRDefault="00E573FC" w:rsidP="00313338">
            <w:pPr>
              <w:jc w:val="center"/>
              <w:spacing w:line="360" w:lineRule="atLeast" w:after="0" w:before="0"/>
            </w:pPr>
            <w:r/>
            <w:r>
              <w:rPr>
                <w:rFonts w:ascii="Aptos" w:hAnsi="Aptos"/>
                <w:b w:val="0"/>
                <w:color w:val="000000"/>
                <w:sz w:val="18"/>
              </w:rPr>
              <w:t>14</w:t>
            </w:r>
          </w:p>
        </w:tc>
        <w:tc>
          <w:tcPr>
            <w:tcW w:w="1834" w:type="dxa"/>
            <w:vAlign w:val="center"/>
            <w:tcMar>
              <w:top w:w="60" w:type="dxa"/>
              <w:bottom w:w="60" w:type="dxa"/>
              <w:left w:w="80" w:type="dxa"/>
              <w:right w:w="80" w:type="dxa"/>
            </w:tcMar>
          </w:tcPr>
          <w:p w14:paraId="7B9B8249"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Validación del sistema con los usuarios contables de DAIRA S.A.C., pruebas de estrés de lotes y atención de ajustes operativos.</w:t>
            </w:r>
          </w:p>
        </w:tc>
        <w:tc>
          <w:tcPr>
            <w:tcW w:w="412" w:type="dxa"/>
            <w:vAlign w:val="center"/>
            <w:tcMar>
              <w:top w:w="60" w:type="dxa"/>
              <w:bottom w:w="60" w:type="dxa"/>
              <w:left w:w="60" w:type="dxa"/>
              <w:right w:w="60" w:type="dxa"/>
            </w:tcMar>
            <w:shd w:fill="FFFFFF"/>
          </w:tcPr>
          <w:p w14:paraId="17E2245B"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999780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F9E4429"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5A9CBC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DFABCD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72BB5D7"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2EBA6E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56E2BA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E8C9F2D"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3C34A1A"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5FEAF99"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6A3467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0D4154F"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234240C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3FBB09C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572CCB9" w14:textId="77777777" w:rsidR="00E573FC" w:rsidRDefault="00E573FC" w:rsidP="00313338">
            <w:pPr>
              <w:jc w:val="left"/>
              <w:spacing w:line="360" w:lineRule="atLeast" w:after="0" w:before="0"/>
            </w:pPr>
            <w:r/>
            <w:r>
              <w:rPr>
                <w:rFonts w:ascii="Aptos" w:hAnsi="Aptos"/>
                <w:b w:val="0"/>
                <w:color w:val="000000"/>
                <w:sz w:val="16"/>
              </w:rPr>
            </w:r>
          </w:p>
        </w:tc>
      </w:tr>
      <w:tr w:rsidR="00E573FC" w14:paraId="654146B3" w14:textId="77777777" w:rsidTr="00313338">
        <w:trPr>
          <w:trHeight w:val="340" w:hRule="atLeast"/>
        </w:trPr>
        <w:tc>
          <w:tcPr>
            <w:tcW w:w="425" w:type="dxa"/>
            <w:vAlign w:val="center"/>
            <w:tcMar>
              <w:top w:w="60" w:type="dxa"/>
              <w:bottom w:w="60" w:type="dxa"/>
              <w:left w:w="80" w:type="dxa"/>
              <w:right w:w="80" w:type="dxa"/>
            </w:tcMar>
          </w:tcPr>
          <w:p w14:paraId="31CAF3B5" w14:textId="77777777" w:rsidR="00E573FC" w:rsidRDefault="00E573FC" w:rsidP="00313338">
            <w:pPr>
              <w:jc w:val="center"/>
              <w:spacing w:line="360" w:lineRule="atLeast" w:after="0" w:before="0"/>
            </w:pPr>
            <w:r/>
            <w:r>
              <w:rPr>
                <w:rFonts w:ascii="Aptos" w:hAnsi="Aptos"/>
                <w:b w:val="0"/>
                <w:color w:val="000000"/>
                <w:sz w:val="18"/>
              </w:rPr>
              <w:t>15</w:t>
            </w:r>
          </w:p>
        </w:tc>
        <w:tc>
          <w:tcPr>
            <w:tcW w:w="1834" w:type="dxa"/>
            <w:vAlign w:val="center"/>
            <w:tcMar>
              <w:top w:w="60" w:type="dxa"/>
              <w:bottom w:w="60" w:type="dxa"/>
              <w:left w:w="80" w:type="dxa"/>
              <w:right w:w="80" w:type="dxa"/>
            </w:tcMar>
          </w:tcPr>
          <w:p w14:paraId="51F43EB8"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Optimización de rendimiento, elaboración de manuales de usuario, documentación técnica y capacitación al personal contable de la empresa.</w:t>
            </w:r>
          </w:p>
        </w:tc>
        <w:tc>
          <w:tcPr>
            <w:tcW w:w="412" w:type="dxa"/>
            <w:vAlign w:val="center"/>
            <w:tcMar>
              <w:top w:w="60" w:type="dxa"/>
              <w:bottom w:w="60" w:type="dxa"/>
              <w:left w:w="60" w:type="dxa"/>
              <w:right w:w="60" w:type="dxa"/>
            </w:tcMar>
            <w:shd w:fill="FFFFFF"/>
          </w:tcPr>
          <w:p w14:paraId="2216FC2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6D324F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D3D6980"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8052A9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93ED91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B1A133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2607ECC"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0AED3313"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8CD270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15E600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C96C064"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E5F799E"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0FC99E1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4C1D77B"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5B74535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8ADF94A" w14:textId="77777777" w:rsidR="00E573FC" w:rsidRDefault="00E573FC" w:rsidP="00313338">
            <w:pPr>
              <w:jc w:val="left"/>
              <w:spacing w:line="360" w:lineRule="atLeast" w:after="0" w:before="0"/>
            </w:pPr>
            <w:r/>
            <w:r>
              <w:rPr>
                <w:rFonts w:ascii="Aptos" w:hAnsi="Aptos"/>
                <w:b w:val="0"/>
                <w:color w:val="000000"/>
                <w:sz w:val="16"/>
              </w:rPr>
            </w:r>
          </w:p>
        </w:tc>
      </w:tr>
      <w:tr w:rsidR="00E573FC" w14:paraId="11385472" w14:textId="77777777" w:rsidTr="00313338">
        <w:trPr>
          <w:trHeight w:val="340" w:hRule="atLeast"/>
        </w:trPr>
        <w:tc>
          <w:tcPr>
            <w:tcW w:w="425" w:type="dxa"/>
            <w:vAlign w:val="center"/>
            <w:tcMar>
              <w:top w:w="60" w:type="dxa"/>
              <w:bottom w:w="60" w:type="dxa"/>
              <w:left w:w="80" w:type="dxa"/>
              <w:right w:w="80" w:type="dxa"/>
            </w:tcMar>
          </w:tcPr>
          <w:p w14:paraId="1442316C" w14:textId="77777777" w:rsidR="00E573FC" w:rsidRDefault="00E573FC" w:rsidP="00313338">
            <w:pPr>
              <w:jc w:val="center"/>
              <w:spacing w:line="360" w:lineRule="atLeast" w:after="0" w:before="0"/>
            </w:pPr>
            <w:r/>
            <w:r>
              <w:rPr>
                <w:rFonts w:ascii="Aptos" w:hAnsi="Aptos"/>
                <w:b w:val="0"/>
                <w:color w:val="000000"/>
                <w:sz w:val="18"/>
              </w:rPr>
              <w:t>16</w:t>
            </w:r>
          </w:p>
        </w:tc>
        <w:tc>
          <w:tcPr>
            <w:tcW w:w="1834" w:type="dxa"/>
            <w:vAlign w:val="center"/>
            <w:tcMar>
              <w:top w:w="60" w:type="dxa"/>
              <w:bottom w:w="60" w:type="dxa"/>
              <w:left w:w="80" w:type="dxa"/>
              <w:right w:w="80" w:type="dxa"/>
            </w:tcMar>
          </w:tcPr>
          <w:p w14:paraId="4A6EC165" w14:textId="77777777" w:rsidR="00E573FC" w:rsidRPr="00537218" w:rsidRDefault="00E573FC" w:rsidP="00313338">
            <w:pPr>
              <w:ind w:right="33"/>
              <w:jc w:val="left"/>
              <w:rPr>
                <w:sz w:val="14"/>
                <w:szCs w:val="14"/>
              </w:rPr>
              <w:spacing w:line="320" w:lineRule="atLeast" w:after="0" w:before="0"/>
            </w:pPr>
            <w:r/>
            <w:r>
              <w:rPr>
                <w:rFonts w:ascii="Aptos" w:hAnsi="Aptos"/>
                <w:b w:val="0"/>
                <w:color w:val="000000"/>
                <w:sz w:val="17"/>
              </w:rPr>
              <w:t>Presentación de resultados finales ante la gerencia de DAIRA S.A.C., entrega formal de la solución web, conformidad del supervisor y cierre de prácticas preprofesionales.</w:t>
            </w:r>
          </w:p>
        </w:tc>
        <w:tc>
          <w:tcPr>
            <w:tcW w:w="412" w:type="dxa"/>
            <w:vAlign w:val="center"/>
            <w:tcMar>
              <w:top w:w="60" w:type="dxa"/>
              <w:bottom w:w="60" w:type="dxa"/>
              <w:left w:w="60" w:type="dxa"/>
              <w:right w:w="60" w:type="dxa"/>
            </w:tcMar>
            <w:shd w:fill="FFFFFF"/>
          </w:tcPr>
          <w:p w14:paraId="15FE0C45"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4E297EF8"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8F8CA02"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6B6A875D"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70D7F66A"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2815359F"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50B6EB01"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46261D4" w14:textId="77777777" w:rsidR="00E573FC" w:rsidRDefault="00E573FC" w:rsidP="00313338">
            <w:pPr>
              <w:jc w:val="left"/>
              <w:spacing w:line="360" w:lineRule="atLeast" w:after="0" w:before="0"/>
            </w:pPr>
            <w:r/>
            <w:r>
              <w:rPr>
                <w:rFonts w:ascii="Aptos" w:hAnsi="Aptos"/>
                <w:b w:val="0"/>
                <w:color w:val="000000"/>
                <w:sz w:val="16"/>
              </w:rPr>
            </w:r>
          </w:p>
        </w:tc>
        <w:tc>
          <w:tcPr>
            <w:tcW w:w="412" w:type="dxa"/>
            <w:vAlign w:val="center"/>
            <w:tcMar>
              <w:top w:w="60" w:type="dxa"/>
              <w:bottom w:w="60" w:type="dxa"/>
              <w:left w:w="60" w:type="dxa"/>
              <w:right w:w="60" w:type="dxa"/>
            </w:tcMar>
            <w:shd w:fill="FFFFFF"/>
          </w:tcPr>
          <w:p w14:paraId="1D4FBB0A"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16C72AE1"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71C4AEB6"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216F6611"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49AB6E05"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50A89978"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FFFFFF"/>
          </w:tcPr>
          <w:p w14:paraId="6F1480C2" w14:textId="77777777" w:rsidR="00E573FC" w:rsidRDefault="00E573FC" w:rsidP="00313338">
            <w:pPr>
              <w:jc w:val="left"/>
              <w:spacing w:line="360" w:lineRule="atLeast" w:after="0" w:before="0"/>
            </w:pPr>
            <w:r/>
            <w:r>
              <w:rPr>
                <w:rFonts w:ascii="Aptos" w:hAnsi="Aptos"/>
                <w:b w:val="0"/>
                <w:color w:val="000000"/>
                <w:sz w:val="16"/>
              </w:rPr>
            </w:r>
          </w:p>
        </w:tc>
        <w:tc>
          <w:tcPr>
            <w:tcW w:w="512" w:type="dxa"/>
            <w:vAlign w:val="center"/>
            <w:tcMar>
              <w:top w:w="60" w:type="dxa"/>
              <w:bottom w:w="60" w:type="dxa"/>
              <w:left w:w="60" w:type="dxa"/>
              <w:right w:w="60" w:type="dxa"/>
            </w:tcMar>
            <w:shd w:fill="156082"/>
          </w:tcPr>
          <w:p w14:paraId="009C8F76" w14:textId="77777777" w:rsidR="00E573FC" w:rsidRDefault="00E573FC" w:rsidP="00313338">
            <w:pPr>
              <w:jc w:val="left"/>
              <w:spacing w:line="360" w:lineRule="atLeast" w:after="0" w:before="0"/>
            </w:pPr>
            <w:r/>
            <w:r>
              <w:rPr>
                <w:rFonts w:ascii="Aptos" w:hAnsi="Aptos"/>
                <w:b w:val="0"/>
                <w:color w:val="000000"/>
                <w:sz w:val="16"/>
              </w:rPr>
            </w:r>
          </w:p>
        </w:tc>
      </w:tr>
    </w:tbl>
    <w:p w14:paraId="390C6432" w14:textId="77777777" w:rsidR="00E573FC" w:rsidRPr="00E30FBF" w:rsidRDefault="00E573FC" w:rsidP="00E573FC">
      <w:pPr>
        <w:spacing w:line="360" w:lineRule="auto"/>
        <w:jc w:val="both"/>
        <w:rPr>
          <w:b/>
          <w:bCs/>
          <w:sz w:val="24"/>
          <w:szCs w:val="24"/>
        </w:rPr>
      </w:pPr>
      <w:r w:rsidRPr="00E30FBF">
        <w:rPr>
          <w:b/>
          <w:bCs/>
          <w:sz w:val="24"/>
          <w:szCs w:val="24"/>
        </w:rPr>
        <w:br w:type="page"/>
      </w:r>
    </w:p>
    <w:p w14:paraId="4F8BBF49" w14:textId="77777777" w:rsidR="00FE3755" w:rsidRPr="00E573FC" w:rsidRDefault="00FE3755" w:rsidP="00E573FC"/>
    <w:sectPr w:rsidR="00FE3755" w:rsidRPr="00E573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DC"/>
    <w:rsid w:val="00A02A2C"/>
    <w:rsid w:val="00B431DC"/>
    <w:rsid w:val="00E573FC"/>
    <w:rsid w:val="00FE37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950A"/>
  <w15:chartTrackingRefBased/>
  <w15:docId w15:val="{9466A23B-C69D-498D-87FD-F5AA9A08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DC"/>
    <w:pPr>
      <w:spacing w:after="0" w:line="240" w:lineRule="auto"/>
    </w:pPr>
    <w:rPr>
      <w:rFonts w:ascii="Times New Roman" w:eastAsia="Times New Roman" w:hAnsi="Times New Roman" w:cs="Times New Roman"/>
      <w:kern w:val="0"/>
      <w:sz w:val="20"/>
      <w:szCs w:val="20"/>
      <w:lang w:eastAsia="es-PE"/>
      <w14:ligatures w14:val="none"/>
    </w:rPr>
  </w:style>
  <w:style w:type="paragraph" w:styleId="Ttulo1">
    <w:name w:val="heading 1"/>
    <w:basedOn w:val="Normal"/>
    <w:next w:val="Normal"/>
    <w:link w:val="Ttulo1Car"/>
    <w:uiPriority w:val="9"/>
    <w:qFormat/>
    <w:rsid w:val="00B431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B431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B431D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B431D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B431D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B431D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B431D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B431DC"/>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B431DC"/>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1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431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31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31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31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31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1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1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1DC"/>
    <w:rPr>
      <w:rFonts w:eastAsiaTheme="majorEastAsia" w:cstheme="majorBidi"/>
      <w:color w:val="272727" w:themeColor="text1" w:themeTint="D8"/>
    </w:rPr>
  </w:style>
  <w:style w:type="paragraph" w:styleId="Ttulo">
    <w:name w:val="Title"/>
    <w:basedOn w:val="Normal"/>
    <w:next w:val="Normal"/>
    <w:link w:val="TtuloCar"/>
    <w:uiPriority w:val="10"/>
    <w:qFormat/>
    <w:rsid w:val="00B431D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B431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1D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B431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1DC"/>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B431DC"/>
    <w:rPr>
      <w:i/>
      <w:iCs/>
      <w:color w:val="404040" w:themeColor="text1" w:themeTint="BF"/>
    </w:rPr>
  </w:style>
  <w:style w:type="paragraph" w:styleId="Prrafodelista">
    <w:name w:val="List Paragraph"/>
    <w:basedOn w:val="Normal"/>
    <w:uiPriority w:val="34"/>
    <w:qFormat/>
    <w:rsid w:val="00B431DC"/>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B431DC"/>
    <w:rPr>
      <w:i/>
      <w:iCs/>
      <w:color w:val="0F4761" w:themeColor="accent1" w:themeShade="BF"/>
    </w:rPr>
  </w:style>
  <w:style w:type="paragraph" w:styleId="Citadestacada">
    <w:name w:val="Intense Quote"/>
    <w:basedOn w:val="Normal"/>
    <w:next w:val="Normal"/>
    <w:link w:val="CitadestacadaCar"/>
    <w:uiPriority w:val="30"/>
    <w:qFormat/>
    <w:rsid w:val="00B431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B431DC"/>
    <w:rPr>
      <w:i/>
      <w:iCs/>
      <w:color w:val="0F4761" w:themeColor="accent1" w:themeShade="BF"/>
    </w:rPr>
  </w:style>
  <w:style w:type="character" w:styleId="Referenciaintensa">
    <w:name w:val="Intense Reference"/>
    <w:basedOn w:val="Fuentedeprrafopredeter"/>
    <w:uiPriority w:val="32"/>
    <w:qFormat/>
    <w:rsid w:val="00B431DC"/>
    <w:rPr>
      <w:b/>
      <w:bCs/>
      <w:smallCaps/>
      <w:color w:val="0F4761" w:themeColor="accent1" w:themeShade="BF"/>
      <w:spacing w:val="5"/>
    </w:rPr>
  </w:style>
  <w:style w:type="character" w:styleId="Fuerte">
    <w:name w:val="Strong"/>
    <w:basedOn w:val="Fuentedeprrafopredeter"/>
    <w:uiPriority w:val="22"/>
    <w:qFormat/>
    <w:rsid w:val="00B431DC"/>
    <w:rPr>
      <w:b/>
      <w:bCs/>
    </w:rPr>
  </w:style>
  <w:style w:type="table" w:styleId="Tablaconcuadrcula">
    <w:name w:val="Table Grid"/>
    <w:basedOn w:val="Tablanormal"/>
    <w:uiPriority w:val="39"/>
    <w:rsid w:val="00B431DC"/>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431DC"/>
    <w:pPr>
      <w:spacing w:before="100" w:beforeAutospacing="1" w:after="100" w:afterAutospacing="1"/>
    </w:pPr>
    <w:rPr>
      <w:sz w:val="24"/>
      <w:szCs w:val="24"/>
      <w:lang w:val="es-ES" w:eastAsia="es-ES"/>
    </w:rPr>
  </w:style>
  <w:style w:type="paragraph" w:styleId="Descripcin">
    <w:name w:val="caption"/>
    <w:basedOn w:val="Normal"/>
    <w:next w:val="Normal"/>
    <w:uiPriority w:val="35"/>
    <w:unhideWhenUsed/>
    <w:qFormat/>
    <w:rsid w:val="00B431DC"/>
    <w:pPr>
      <w:spacing w:after="200"/>
    </w:pPr>
    <w:rPr>
      <w:i/>
      <w:iCs/>
      <w:color w:val="0E2841" w:themeColor="text2"/>
      <w:sz w:val="18"/>
      <w:szCs w:val="18"/>
    </w:rPr>
  </w:style>
  <w:style w:type="character" w:styleId="Hipervnculo">
    <w:name w:val="Hyperlink"/>
    <w:uiPriority w:val="99"/>
    <w:unhideWhenUsed/>
    <w:rsid w:val="00E573F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nva.link/ftotdlp3p88hzll" TargetMode="External"/><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2599</Words>
  <Characters>14297</Characters>
  <Application>Microsoft Office Word</Application>
  <DocSecurity>0</DocSecurity>
  <Lines>119</Lines>
  <Paragraphs>33</Paragraphs>
  <ScaleCrop>false</ScaleCrop>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2</cp:revision>
  <dcterms:created xsi:type="dcterms:W3CDTF">2026-10-02T19:47:00Z</dcterms:created>
  <dcterms:modified xsi:type="dcterms:W3CDTF">2026-10-02T19:50:00Z</dcterms:modified>
</cp:coreProperties>
</file>