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16C7D" w:rsidRDefault="00816C7D">
      <w:pPr>
        <w:spacing w:after="0" w:line="240" w:lineRule="auto"/>
        <w:jc w:val="center"/>
        <w:rPr>
          <w:sz w:val="16"/>
          <w:szCs w:val="16"/>
        </w:rPr>
      </w:pPr>
      <w:bookmarkStart w:id="0" w:name="_GoBack"/>
      <w:bookmarkEnd w:id="0"/>
    </w:p>
    <w:p w:rsidR="00816C7D" w:rsidRDefault="007771E7">
      <w:pPr>
        <w:spacing w:after="0" w:line="240" w:lineRule="auto"/>
        <w:jc w:val="center"/>
        <w:rPr>
          <w:sz w:val="16"/>
          <w:szCs w:val="16"/>
        </w:rPr>
      </w:pPr>
      <w:r>
        <w:rPr>
          <w:rFonts w:cstheme="majorHAnsi"/>
          <w:sz w:val="16"/>
          <w:szCs w:val="16"/>
        </w:rPr>
        <w:t xml:space="preserve">INSTRUÇÃO NORMATIVA Nº 02, DE 15 DE ABRIL DE 2025 ANEXO </w:t>
      </w:r>
      <w:proofErr w:type="gramStart"/>
      <w:r>
        <w:rPr>
          <w:rFonts w:cstheme="majorHAnsi"/>
          <w:sz w:val="16"/>
          <w:szCs w:val="16"/>
        </w:rPr>
        <w:t>III</w:t>
      </w:r>
      <w:proofErr w:type="gramEnd"/>
      <w:r>
        <w:rPr>
          <w:rFonts w:cstheme="majorHAnsi"/>
          <w:sz w:val="16"/>
          <w:szCs w:val="16"/>
        </w:rPr>
        <w:t xml:space="preserve"> </w:t>
      </w:r>
    </w:p>
    <w:p w:rsidR="00816C7D" w:rsidRDefault="00816C7D">
      <w:pPr>
        <w:spacing w:after="0" w:line="240" w:lineRule="auto"/>
        <w:jc w:val="center"/>
        <w:rPr>
          <w:sz w:val="16"/>
          <w:szCs w:val="16"/>
        </w:rPr>
      </w:pPr>
    </w:p>
    <w:p w:rsidR="00816C7D" w:rsidRDefault="00816C7D">
      <w:pPr>
        <w:spacing w:after="0" w:line="240" w:lineRule="auto"/>
        <w:jc w:val="center"/>
        <w:rPr>
          <w:sz w:val="16"/>
          <w:szCs w:val="16"/>
        </w:rPr>
      </w:pPr>
    </w:p>
    <w:p w:rsidR="00816C7D" w:rsidRDefault="007771E7">
      <w:pPr>
        <w:spacing w:after="0"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  <w:r>
        <w:rPr>
          <w:rFonts w:ascii="Calibri Light" w:hAnsi="Calibri Light" w:cstheme="majorHAnsi"/>
          <w:b/>
          <w:sz w:val="28"/>
          <w:szCs w:val="28"/>
        </w:rPr>
        <w:t>Solicitação de Alteração Contratual</w:t>
      </w:r>
    </w:p>
    <w:p w:rsidR="00816C7D" w:rsidRDefault="00816C7D">
      <w:pPr>
        <w:spacing w:after="0" w:line="240" w:lineRule="auto"/>
        <w:jc w:val="center"/>
        <w:rPr>
          <w:rFonts w:asciiTheme="majorHAnsi" w:hAnsiTheme="majorHAnsi" w:cstheme="majorHAnsi"/>
          <w:b/>
          <w:sz w:val="28"/>
          <w:szCs w:val="28"/>
        </w:rPr>
      </w:pP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8"/>
          <w:szCs w:val="28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 xml:space="preserve">O objetivo deste formulário é relacionar os documentos necessários para a elaboração de cada tipo de termo aditivo. Ressaltamos que cada caso possui </w:t>
      </w:r>
      <w:r>
        <w:rPr>
          <w:rFonts w:asciiTheme="majorHAnsi" w:hAnsiTheme="majorHAnsi" w:cstheme="majorHAnsi"/>
          <w:sz w:val="22"/>
        </w:rPr>
        <w:t>suas particularidades e, portanto, documentos adicionais poderão ser solicitados conforme a especificidade da alteração solicitada.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pStyle w:val="Ttulo1"/>
      </w:pPr>
      <w:r>
        <w:t>1. Dados do Contrato/Ata de Registro de Preços: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i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 w:val="22"/>
        </w:rPr>
        <w:t>Número do Contrato/Ata de Registro de Preços</w:t>
      </w:r>
      <w:r>
        <w:rPr>
          <w:rFonts w:asciiTheme="majorHAnsi" w:hAnsiTheme="majorHAnsi" w:cstheme="majorHAnsi"/>
          <w:sz w:val="22"/>
        </w:rPr>
        <w:t xml:space="preserve">: 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 w:val="22"/>
        </w:rPr>
        <w:t>Processo:</w:t>
      </w:r>
      <w:r>
        <w:rPr>
          <w:rFonts w:asciiTheme="majorHAnsi" w:hAnsiTheme="majorHAnsi" w:cstheme="majorHAnsi"/>
          <w:sz w:val="22"/>
        </w:rPr>
        <w:t xml:space="preserve"> 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b/>
          <w:sz w:val="22"/>
        </w:rPr>
      </w:pPr>
      <w:r>
        <w:rPr>
          <w:rFonts w:asciiTheme="majorHAnsi" w:hAnsiTheme="majorHAnsi" w:cstheme="majorHAnsi"/>
          <w:b/>
          <w:sz w:val="22"/>
        </w:rPr>
        <w:t>Lei de Regência:</w:t>
      </w:r>
      <w:r>
        <w:rPr>
          <w:rFonts w:asciiTheme="majorHAnsi" w:hAnsiTheme="majorHAnsi" w:cstheme="majorHAnsi"/>
          <w:sz w:val="22"/>
        </w:rPr>
        <w:t xml:space="preserve"> 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 w:val="22"/>
        </w:rPr>
        <w:t>Contratada</w:t>
      </w:r>
      <w:r>
        <w:rPr>
          <w:rFonts w:asciiTheme="majorHAnsi" w:hAnsiTheme="majorHAnsi" w:cstheme="majorHAnsi"/>
          <w:sz w:val="22"/>
        </w:rPr>
        <w:t xml:space="preserve">: 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 w:val="22"/>
        </w:rPr>
        <w:t>CNPJ da Contratada</w:t>
      </w:r>
      <w:r>
        <w:rPr>
          <w:rFonts w:asciiTheme="majorHAnsi" w:hAnsiTheme="majorHAnsi" w:cstheme="majorHAnsi"/>
          <w:sz w:val="22"/>
        </w:rPr>
        <w:t xml:space="preserve">: 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 w:val="22"/>
        </w:rPr>
        <w:t>Objeto do Contrato</w:t>
      </w:r>
      <w:r>
        <w:rPr>
          <w:rFonts w:asciiTheme="majorHAnsi" w:hAnsiTheme="majorHAnsi" w:cstheme="majorHAnsi"/>
          <w:sz w:val="22"/>
        </w:rPr>
        <w:t xml:space="preserve">: 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 w:val="22"/>
        </w:rPr>
        <w:t>Fiscal do Contrato</w:t>
      </w:r>
      <w:r>
        <w:rPr>
          <w:rFonts w:asciiTheme="majorHAnsi" w:hAnsiTheme="majorHAnsi" w:cstheme="majorHAnsi"/>
          <w:sz w:val="22"/>
        </w:rPr>
        <w:t xml:space="preserve">: 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b/>
          <w:sz w:val="22"/>
        </w:rPr>
      </w:pPr>
    </w:p>
    <w:p w:rsidR="00816C7D" w:rsidRDefault="007771E7">
      <w:pPr>
        <w:pStyle w:val="Ttulo1"/>
      </w:pPr>
      <w:r>
        <w:t>2. Tipo de Contrato e Aditivo/</w:t>
      </w:r>
      <w:proofErr w:type="spellStart"/>
      <w:r>
        <w:t>Apostilamento</w:t>
      </w:r>
      <w:proofErr w:type="spellEnd"/>
      <w:r>
        <w:t xml:space="preserve"> Solicitado: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b/>
          <w:sz w:val="22"/>
        </w:rPr>
      </w:pPr>
    </w:p>
    <w:p w:rsidR="00816C7D" w:rsidRDefault="007771E7">
      <w:pPr>
        <w:pStyle w:val="Ttulo2"/>
      </w:pPr>
      <w:r>
        <w:t>Obras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1</w:t>
      </w:r>
      <w:proofErr w:type="gramEnd"/>
      <w:r>
        <w:rPr>
          <w:rFonts w:asciiTheme="majorHAnsi" w:hAnsiTheme="majorHAnsi" w:cstheme="majorHAnsi"/>
          <w:sz w:val="22"/>
        </w:rPr>
        <w:t>: Prorrogação de prazo.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 xml:space="preserve">- A contar de: 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i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Cronograma Físico-Financeiro atualizado.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2</w:t>
      </w:r>
      <w:proofErr w:type="gramEnd"/>
      <w:r>
        <w:rPr>
          <w:rFonts w:asciiTheme="majorHAnsi" w:hAnsiTheme="majorHAnsi" w:cstheme="majorHAnsi"/>
          <w:sz w:val="22"/>
        </w:rPr>
        <w:t xml:space="preserve">: </w:t>
      </w:r>
      <w:r>
        <w:rPr>
          <w:rFonts w:asciiTheme="majorHAnsi" w:hAnsiTheme="majorHAnsi" w:cstheme="majorHAnsi"/>
          <w:sz w:val="22"/>
        </w:rPr>
        <w:t>Acréscimo de valor.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Opção 2.1: Quantitativo – itens/serviços previstos no contrato.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- Valor: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- A fiscalização declara que verificou as dotações do contrato e há disponibilidade orçamentária para suportar o acréscimo. Dotações: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Memória de Cá</w:t>
      </w:r>
      <w:r>
        <w:rPr>
          <w:rFonts w:asciiTheme="majorHAnsi" w:hAnsiTheme="majorHAnsi" w:cstheme="majorHAnsi"/>
          <w:sz w:val="22"/>
        </w:rPr>
        <w:t>lculo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Cronograma Físico-Financeiro atualizado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Opção 2.2: Qualitativo – itens/serviços não previstos inicialmente no contrato.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- Valor: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 xml:space="preserve">- A fiscalização declara que verificou as dotações do contrato e há disponibilidade orçamentária para suportar o </w:t>
      </w:r>
      <w:r>
        <w:rPr>
          <w:rFonts w:asciiTheme="majorHAnsi" w:hAnsiTheme="majorHAnsi" w:cstheme="majorHAnsi"/>
          <w:sz w:val="22"/>
        </w:rPr>
        <w:t>acréscimo. Dotações: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Memória de Cálculo.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Cronograma Físico-Financeiro atualizado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3</w:t>
      </w:r>
      <w:proofErr w:type="gramEnd"/>
      <w:r>
        <w:rPr>
          <w:rFonts w:asciiTheme="majorHAnsi" w:hAnsiTheme="majorHAnsi" w:cstheme="majorHAnsi"/>
          <w:sz w:val="22"/>
        </w:rPr>
        <w:t>: Supressão de valor.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Valor: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</w:t>
      </w:r>
      <w:r>
        <w:rPr>
          <w:rFonts w:asciiTheme="majorHAnsi" w:hAnsiTheme="majorHAnsi" w:cstheme="majorHAnsi"/>
          <w:sz w:val="22"/>
        </w:rPr>
        <w:t>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Cronograma Físico-Financeiro atualizado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4</w:t>
      </w:r>
      <w:proofErr w:type="gramEnd"/>
      <w:r>
        <w:rPr>
          <w:rFonts w:asciiTheme="majorHAnsi" w:hAnsiTheme="majorHAnsi" w:cstheme="majorHAnsi"/>
          <w:sz w:val="22"/>
        </w:rPr>
        <w:t>: Reequilíbrio.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A fiscalização declara que verificou as dotaçõ</w:t>
      </w:r>
      <w:r>
        <w:rPr>
          <w:rFonts w:asciiTheme="majorHAnsi" w:hAnsiTheme="majorHAnsi" w:cstheme="majorHAnsi"/>
          <w:sz w:val="22"/>
        </w:rPr>
        <w:t>es do contrato e há disponibilidade orçamentária para suportar o reequilíbrio. Dotações: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i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lastRenderedPageBreak/>
        <w:tab/>
        <w:t>Documentos comprobatórios para o reequilíbrio (existência de fato superveniente que possa ensejar reequilíbrio).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Posicionamento da fiscalização.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5</w:t>
      </w:r>
      <w:proofErr w:type="gramEnd"/>
      <w:r>
        <w:rPr>
          <w:rFonts w:asciiTheme="majorHAnsi" w:hAnsiTheme="majorHAnsi" w:cstheme="majorHAnsi"/>
          <w:sz w:val="22"/>
        </w:rPr>
        <w:t>: R</w:t>
      </w:r>
      <w:r>
        <w:rPr>
          <w:rFonts w:asciiTheme="majorHAnsi" w:hAnsiTheme="majorHAnsi" w:cstheme="majorHAnsi"/>
          <w:sz w:val="22"/>
        </w:rPr>
        <w:t>eajuste.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Previsão na Cláusula (do contrato):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Índice a ser utilizado: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6</w:t>
      </w:r>
      <w:proofErr w:type="gramEnd"/>
      <w:r>
        <w:rPr>
          <w:rFonts w:asciiTheme="majorHAnsi" w:hAnsiTheme="majorHAnsi" w:cstheme="majorHAnsi"/>
          <w:sz w:val="22"/>
        </w:rPr>
        <w:t>: Troca de Fiscal.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Trocar de: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Para: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7</w:t>
      </w:r>
      <w:proofErr w:type="gramEnd"/>
      <w:r>
        <w:rPr>
          <w:rFonts w:asciiTheme="majorHAnsi" w:hAnsiTheme="majorHAnsi" w:cstheme="majorHAnsi"/>
          <w:sz w:val="22"/>
        </w:rPr>
        <w:t>: Rescisão.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A contar de: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Valor cancelado com a Rescisão: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pStyle w:val="Ttulo2"/>
      </w:pPr>
      <w:r>
        <w:t>Prestação de Serviços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1</w:t>
      </w:r>
      <w:proofErr w:type="gramEnd"/>
      <w:r>
        <w:rPr>
          <w:rFonts w:asciiTheme="majorHAnsi" w:hAnsiTheme="majorHAnsi" w:cstheme="majorHAnsi"/>
          <w:sz w:val="22"/>
        </w:rPr>
        <w:t xml:space="preserve">: Renovação de serviços </w:t>
      </w:r>
      <w:r>
        <w:rPr>
          <w:rFonts w:asciiTheme="majorHAnsi" w:hAnsiTheme="majorHAnsi" w:cstheme="majorHAnsi"/>
          <w:sz w:val="22"/>
        </w:rPr>
        <w:t>continuados.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A contar de:</w:t>
      </w:r>
    </w:p>
    <w:p w:rsidR="00816C7D" w:rsidRDefault="007771E7">
      <w:pPr>
        <w:spacing w:after="0" w:line="240" w:lineRule="auto"/>
        <w:ind w:left="709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- A fiscalização declara que verificou as dotações do contrato e há disponibilidade orçamentária para suportar a renovação. Dotações:</w:t>
      </w:r>
    </w:p>
    <w:p w:rsidR="00816C7D" w:rsidRDefault="007771E7">
      <w:pPr>
        <w:spacing w:after="0" w:line="240" w:lineRule="auto"/>
        <w:ind w:left="709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- Reajuste: 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Memória de Cálculo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 xml:space="preserve">Pesquisa de Preços para Comprovação do Valor de </w:t>
      </w:r>
      <w:r>
        <w:rPr>
          <w:rFonts w:asciiTheme="majorHAnsi" w:hAnsiTheme="majorHAnsi" w:cstheme="majorHAnsi"/>
          <w:sz w:val="22"/>
        </w:rPr>
        <w:t>Mercado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2</w:t>
      </w:r>
      <w:proofErr w:type="gramEnd"/>
      <w:r>
        <w:rPr>
          <w:rFonts w:asciiTheme="majorHAnsi" w:hAnsiTheme="majorHAnsi" w:cstheme="majorHAnsi"/>
          <w:sz w:val="22"/>
        </w:rPr>
        <w:t>: Acréscimo de valor.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Opção 2.1: Quantitativo – itens/serviços previstos no contrato.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- Valor:</w:t>
      </w:r>
    </w:p>
    <w:p w:rsidR="00816C7D" w:rsidRDefault="007771E7">
      <w:pPr>
        <w:spacing w:after="0" w:line="240" w:lineRule="auto"/>
        <w:ind w:left="1418" w:hanging="1418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A fiscalização declara que verificou as dotações do contrato e há disponibilidade orçamentária para suportar o acréscimo. Dotações: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Memória de Cálculo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Opção 2.2: Qualitativo – itens/serviços não previstos inicialmente no contrato.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- Valor:</w:t>
      </w:r>
    </w:p>
    <w:p w:rsidR="00816C7D" w:rsidRDefault="007771E7">
      <w:pPr>
        <w:spacing w:after="0" w:line="240" w:lineRule="auto"/>
        <w:ind w:left="1418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- A fiscalização declara que verificou as dotações do contrato e há disponibilidade orçamentária para suportar o acréscimo. Dotações: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Memória de Cálculo.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3</w:t>
      </w:r>
      <w:proofErr w:type="gramEnd"/>
      <w:r>
        <w:rPr>
          <w:rFonts w:asciiTheme="majorHAnsi" w:hAnsiTheme="majorHAnsi" w:cstheme="majorHAnsi"/>
          <w:sz w:val="22"/>
        </w:rPr>
        <w:t>: Supressão de valor.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Valor: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Memória de Cálculo.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4</w:t>
      </w:r>
      <w:proofErr w:type="gramEnd"/>
      <w:r>
        <w:rPr>
          <w:rFonts w:asciiTheme="majorHAnsi" w:hAnsiTheme="majorHAnsi" w:cstheme="majorHAnsi"/>
          <w:sz w:val="22"/>
        </w:rPr>
        <w:t>: Reequilíbrio.</w:t>
      </w:r>
    </w:p>
    <w:p w:rsidR="00816C7D" w:rsidRDefault="007771E7">
      <w:pPr>
        <w:spacing w:after="0" w:line="240" w:lineRule="auto"/>
        <w:ind w:left="851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- A fiscalização declara que verificou as dotações do contrato e há disponibilidade orçamentária para suportar o acréscimo. Dotações: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i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Documentos comprobatórios para o reequilíbrio (existência de fato superveniente que possa ensejar reequilíbrio).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Manifestação da fiscalização.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5</w:t>
      </w:r>
      <w:proofErr w:type="gramEnd"/>
      <w:r>
        <w:rPr>
          <w:rFonts w:asciiTheme="majorHAnsi" w:hAnsiTheme="majorHAnsi" w:cstheme="majorHAnsi"/>
          <w:sz w:val="22"/>
        </w:rPr>
        <w:t>: Reajuste;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Previsão na Cláusula (do contrato):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lastRenderedPageBreak/>
        <w:tab/>
        <w:t>Índice a ser utilizado: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6</w:t>
      </w:r>
      <w:proofErr w:type="gramEnd"/>
      <w:r>
        <w:rPr>
          <w:rFonts w:asciiTheme="majorHAnsi" w:hAnsiTheme="majorHAnsi" w:cstheme="majorHAnsi"/>
          <w:sz w:val="22"/>
        </w:rPr>
        <w:t xml:space="preserve">: </w:t>
      </w:r>
      <w:r>
        <w:rPr>
          <w:rFonts w:asciiTheme="majorHAnsi" w:hAnsiTheme="majorHAnsi" w:cstheme="majorHAnsi"/>
          <w:sz w:val="22"/>
        </w:rPr>
        <w:t>Repactuação.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Documentos comprobatórios para a repactuação.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7</w:t>
      </w:r>
      <w:proofErr w:type="gramEnd"/>
      <w:r>
        <w:rPr>
          <w:rFonts w:asciiTheme="majorHAnsi" w:hAnsiTheme="majorHAnsi" w:cstheme="majorHAnsi"/>
          <w:sz w:val="22"/>
        </w:rPr>
        <w:t>: Troca de Fiscal: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Trocar de: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Para: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8</w:t>
      </w:r>
      <w:proofErr w:type="gramEnd"/>
      <w:r>
        <w:rPr>
          <w:rFonts w:asciiTheme="majorHAnsi" w:hAnsiTheme="majorHAnsi" w:cstheme="majorHAnsi"/>
          <w:sz w:val="22"/>
        </w:rPr>
        <w:t>: Rescisão: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A contar de: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Valor cancelado com a Rescisão: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pStyle w:val="Ttulo2"/>
      </w:pPr>
      <w:r>
        <w:t>Aquisição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1</w:t>
      </w:r>
      <w:proofErr w:type="gramEnd"/>
      <w:r>
        <w:rPr>
          <w:rFonts w:asciiTheme="majorHAnsi" w:hAnsiTheme="majorHAnsi" w:cstheme="majorHAnsi"/>
          <w:sz w:val="22"/>
        </w:rPr>
        <w:t>: Renovação de fornecimentos continuados.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 xml:space="preserve">- A contar </w:t>
      </w:r>
      <w:r>
        <w:rPr>
          <w:rFonts w:asciiTheme="majorHAnsi" w:hAnsiTheme="majorHAnsi" w:cstheme="majorHAnsi"/>
          <w:sz w:val="22"/>
        </w:rPr>
        <w:t>de:</w:t>
      </w:r>
    </w:p>
    <w:p w:rsidR="00816C7D" w:rsidRDefault="007771E7">
      <w:pPr>
        <w:spacing w:after="0" w:line="240" w:lineRule="auto"/>
        <w:ind w:left="709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- A fiscalização declara que verificou as dotações do contrato e há disponibilidade orçamentária para suportar o acréscimo. Dotações: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Memória de Cálculo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Pesquisa de Preços para Comprovação do Valor de Mercado</w:t>
      </w:r>
    </w:p>
    <w:p w:rsidR="00816C7D" w:rsidRDefault="007771E7">
      <w:pPr>
        <w:spacing w:after="0" w:line="240" w:lineRule="auto"/>
        <w:ind w:left="709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- Reajuste: 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2</w:t>
      </w:r>
      <w:proofErr w:type="gramEnd"/>
      <w:r>
        <w:rPr>
          <w:rFonts w:asciiTheme="majorHAnsi" w:hAnsiTheme="majorHAnsi" w:cstheme="majorHAnsi"/>
          <w:sz w:val="22"/>
        </w:rPr>
        <w:t xml:space="preserve">: Acréscimo </w:t>
      </w:r>
      <w:r>
        <w:rPr>
          <w:rFonts w:asciiTheme="majorHAnsi" w:hAnsiTheme="majorHAnsi" w:cstheme="majorHAnsi"/>
          <w:sz w:val="22"/>
        </w:rPr>
        <w:t>de valor.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proofErr w:type="gramStart"/>
      <w:r>
        <w:rPr>
          <w:rFonts w:asciiTheme="majorHAnsi" w:hAnsiTheme="majorHAnsi" w:cstheme="majorHAnsi"/>
          <w:sz w:val="22"/>
        </w:rPr>
        <w:t>Opção 2.1:)</w:t>
      </w:r>
      <w:proofErr w:type="gramEnd"/>
      <w:r>
        <w:rPr>
          <w:rFonts w:asciiTheme="majorHAnsi" w:hAnsiTheme="majorHAnsi" w:cstheme="majorHAnsi"/>
          <w:sz w:val="22"/>
        </w:rPr>
        <w:t xml:space="preserve"> Quantitativo – itens/serviços previstos no contrato.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- Valor:</w:t>
      </w:r>
    </w:p>
    <w:p w:rsidR="00816C7D" w:rsidRDefault="007771E7">
      <w:pPr>
        <w:spacing w:after="0" w:line="240" w:lineRule="auto"/>
        <w:ind w:left="1418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- A fiscalização declara que verificou as dotações do contrato e há disponibilidade orçamentária para suportar o acréscimo. Dotações: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Memória de Cálculo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>Opção 2.2: Qualitativo – itens/serviços não previstos inicialmente no contrato.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- Valor:</w:t>
      </w:r>
    </w:p>
    <w:p w:rsidR="00816C7D" w:rsidRDefault="007771E7">
      <w:pPr>
        <w:spacing w:after="0" w:line="240" w:lineRule="auto"/>
        <w:ind w:left="1418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- A fiscalização declara que verificou as dotações do contrato e há disponibilidade orçamentária para suportar o acréscimo. Dotações: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</w:rPr>
        <w:tab/>
        <w:t>Memória de Cálculo.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3</w:t>
      </w:r>
      <w:proofErr w:type="gramEnd"/>
      <w:r>
        <w:rPr>
          <w:rFonts w:asciiTheme="majorHAnsi" w:hAnsiTheme="majorHAnsi" w:cstheme="majorHAnsi"/>
          <w:sz w:val="22"/>
        </w:rPr>
        <w:t>: Supressão de valor.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Valor: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Memória de Cálculo.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4</w:t>
      </w:r>
      <w:proofErr w:type="gramEnd"/>
      <w:r>
        <w:rPr>
          <w:rFonts w:asciiTheme="majorHAnsi" w:hAnsiTheme="majorHAnsi" w:cstheme="majorHAnsi"/>
          <w:sz w:val="22"/>
        </w:rPr>
        <w:t>: Reequilíbrio.</w:t>
      </w:r>
    </w:p>
    <w:p w:rsidR="00816C7D" w:rsidRDefault="007771E7">
      <w:pPr>
        <w:spacing w:after="0" w:line="240" w:lineRule="auto"/>
        <w:ind w:left="709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- A fiscalização declara que verificou as dotações do contrato e há disponibilidade orçamentária para suportar o acréscimo. Dotações: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i/>
          <w:sz w:val="22"/>
        </w:rPr>
        <w:tab/>
      </w:r>
      <w:r>
        <w:rPr>
          <w:rFonts w:asciiTheme="majorHAnsi" w:hAnsiTheme="majorHAnsi" w:cstheme="majorHAnsi"/>
          <w:sz w:val="22"/>
          <w:u w:val="single"/>
        </w:rPr>
        <w:t>Anexos: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Documentos comproba</w:t>
      </w:r>
      <w:r>
        <w:rPr>
          <w:rFonts w:asciiTheme="majorHAnsi" w:hAnsiTheme="majorHAnsi" w:cstheme="majorHAnsi"/>
          <w:sz w:val="22"/>
        </w:rPr>
        <w:t>tórios para o reequilíbrio (existência de fato superveniente que possa ensejar reequilíbrio).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Manifestação da fiscalização.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5</w:t>
      </w:r>
      <w:proofErr w:type="gramEnd"/>
      <w:r>
        <w:rPr>
          <w:rFonts w:asciiTheme="majorHAnsi" w:hAnsiTheme="majorHAnsi" w:cstheme="majorHAnsi"/>
          <w:sz w:val="22"/>
        </w:rPr>
        <w:t>: Reajuste;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Previsão na Cláusula (do contrato):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Índice a ser utilizado: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6</w:t>
      </w:r>
      <w:proofErr w:type="gramEnd"/>
      <w:r>
        <w:rPr>
          <w:rFonts w:asciiTheme="majorHAnsi" w:hAnsiTheme="majorHAnsi" w:cstheme="majorHAnsi"/>
          <w:sz w:val="22"/>
        </w:rPr>
        <w:t>: Troca de Fiscal: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lastRenderedPageBreak/>
        <w:tab/>
        <w:t>- Trocar de: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Para: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 xml:space="preserve">Opção </w:t>
      </w:r>
      <w:proofErr w:type="gramStart"/>
      <w:r>
        <w:rPr>
          <w:rFonts w:asciiTheme="majorHAnsi" w:hAnsiTheme="majorHAnsi" w:cstheme="majorHAnsi"/>
          <w:sz w:val="22"/>
        </w:rPr>
        <w:t>7</w:t>
      </w:r>
      <w:proofErr w:type="gramEnd"/>
      <w:r>
        <w:rPr>
          <w:rFonts w:asciiTheme="majorHAnsi" w:hAnsiTheme="majorHAnsi" w:cstheme="majorHAnsi"/>
          <w:sz w:val="22"/>
        </w:rPr>
        <w:t>: Rescisão: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A contar de: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ab/>
        <w:t>- Valor cancelado com a Rescisão: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pStyle w:val="Ttulo1"/>
      </w:pPr>
      <w:r>
        <w:t>3. Detalhamento da Solicitação: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 w:val="22"/>
        </w:rPr>
        <w:t>Descrição da Alteração Solicitada</w:t>
      </w:r>
      <w:r>
        <w:rPr>
          <w:rFonts w:asciiTheme="majorHAnsi" w:hAnsiTheme="majorHAnsi" w:cstheme="majorHAnsi"/>
          <w:sz w:val="22"/>
        </w:rPr>
        <w:t>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 w:val="22"/>
        </w:rPr>
        <w:t>Justificativa para a Alteração</w:t>
      </w:r>
      <w:r>
        <w:rPr>
          <w:rFonts w:asciiTheme="majorHAnsi" w:hAnsiTheme="majorHAnsi" w:cstheme="majorHAnsi"/>
          <w:sz w:val="22"/>
        </w:rPr>
        <w:t>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 w:val="22"/>
        </w:rPr>
        <w:t>Impacto no Valor do Contrato</w:t>
      </w:r>
      <w:r>
        <w:rPr>
          <w:rFonts w:asciiTheme="majorHAnsi" w:hAnsiTheme="majorHAnsi" w:cstheme="majorHAnsi"/>
          <w:sz w:val="22"/>
        </w:rPr>
        <w:t xml:space="preserve"> (se aplicável):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b/>
          <w:sz w:val="22"/>
        </w:rPr>
        <w:t>Impacto no Prazo do Contrato</w:t>
      </w:r>
      <w:r>
        <w:rPr>
          <w:rFonts w:asciiTheme="majorHAnsi" w:hAnsiTheme="majorHAnsi" w:cstheme="majorHAnsi"/>
          <w:sz w:val="22"/>
        </w:rPr>
        <w:t xml:space="preserve"> (se aplicável):</w:t>
      </w:r>
    </w:p>
    <w:p w:rsidR="00816C7D" w:rsidRDefault="00816C7D">
      <w:pPr>
        <w:spacing w:after="0" w:line="240" w:lineRule="auto"/>
        <w:rPr>
          <w:rFonts w:asciiTheme="majorHAnsi" w:hAnsiTheme="majorHAnsi" w:cstheme="majorHAnsi"/>
          <w:sz w:val="22"/>
        </w:rPr>
      </w:pP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  <w:u w:val="single"/>
        </w:rPr>
      </w:pPr>
      <w:r>
        <w:rPr>
          <w:rFonts w:asciiTheme="majorHAnsi" w:hAnsiTheme="majorHAnsi" w:cstheme="majorHAnsi"/>
          <w:sz w:val="22"/>
          <w:u w:val="single"/>
        </w:rPr>
        <w:t>Anexos: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Aceite da Contratada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CND FGTS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CND Federal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CND Estadual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CND Municipal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CND Trabalhista</w:t>
      </w:r>
    </w:p>
    <w:p w:rsidR="00816C7D" w:rsidRDefault="007771E7">
      <w:pPr>
        <w:spacing w:after="0" w:line="240" w:lineRule="auto"/>
        <w:rPr>
          <w:rFonts w:asciiTheme="majorHAnsi" w:hAnsiTheme="majorHAnsi" w:cstheme="majorHAnsi"/>
          <w:sz w:val="22"/>
        </w:rPr>
      </w:pPr>
      <w:r>
        <w:rPr>
          <w:rFonts w:asciiTheme="majorHAnsi" w:hAnsiTheme="majorHAnsi" w:cstheme="majorHAnsi"/>
          <w:sz w:val="22"/>
        </w:rPr>
        <w:t>CND Falimentar</w:t>
      </w:r>
    </w:p>
    <w:sectPr w:rsidR="00816C7D">
      <w:pgSz w:w="11906" w:h="16838"/>
      <w:pgMar w:top="567" w:right="1701" w:bottom="567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6C7D"/>
    <w:rsid w:val="007771E7"/>
    <w:rsid w:val="00816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635"/>
    <w:pPr>
      <w:spacing w:after="16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F467C"/>
    <w:pPr>
      <w:keepNext/>
      <w:keepLines/>
      <w:spacing w:after="0" w:line="240" w:lineRule="auto"/>
      <w:outlineLvl w:val="0"/>
    </w:pPr>
    <w:rPr>
      <w:rFonts w:ascii="Calibri Light" w:eastAsiaTheme="majorEastAsia" w:hAnsi="Calibri Light" w:cstheme="majorBidi"/>
      <w:b/>
      <w:sz w:val="2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5F467C"/>
    <w:pPr>
      <w:outlineLvl w:val="1"/>
    </w:pPr>
    <w:rPr>
      <w:szCs w:val="26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basedOn w:val="Fontepargpadro"/>
    <w:link w:val="Ttulo"/>
    <w:uiPriority w:val="10"/>
    <w:qFormat/>
    <w:rsid w:val="00343DF5"/>
    <w:rPr>
      <w:rFonts w:ascii="Arial" w:eastAsiaTheme="majorEastAsia" w:hAnsi="Arial" w:cstheme="majorBidi"/>
      <w:spacing w:val="-10"/>
      <w:kern w:val="2"/>
      <w:sz w:val="28"/>
      <w:szCs w:val="56"/>
    </w:rPr>
  </w:style>
  <w:style w:type="character" w:customStyle="1" w:styleId="Ttulo1Char">
    <w:name w:val="Título 1 Char"/>
    <w:basedOn w:val="Fontepargpadro"/>
    <w:link w:val="Ttulo1"/>
    <w:uiPriority w:val="9"/>
    <w:qFormat/>
    <w:rsid w:val="005F467C"/>
    <w:rPr>
      <w:rFonts w:ascii="Calibri Light" w:eastAsiaTheme="majorEastAsia" w:hAnsi="Calibri Light" w:cstheme="majorBidi"/>
      <w:b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5F467C"/>
    <w:rPr>
      <w:rFonts w:ascii="Calibri Light" w:eastAsiaTheme="majorEastAsia" w:hAnsi="Calibri Light" w:cstheme="majorBidi"/>
      <w:b/>
      <w:szCs w:val="26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rsid w:val="00343DF5"/>
    <w:pPr>
      <w:spacing w:after="0"/>
      <w:contextualSpacing/>
    </w:pPr>
    <w:rPr>
      <w:rFonts w:eastAsiaTheme="majorEastAsia" w:cstheme="majorBidi"/>
      <w:spacing w:val="-10"/>
      <w:kern w:val="2"/>
      <w:sz w:val="28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34"/>
    <w:qFormat/>
    <w:rsid w:val="00D33E8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5635"/>
    <w:pPr>
      <w:spacing w:after="160"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5F467C"/>
    <w:pPr>
      <w:keepNext/>
      <w:keepLines/>
      <w:spacing w:after="0" w:line="240" w:lineRule="auto"/>
      <w:outlineLvl w:val="0"/>
    </w:pPr>
    <w:rPr>
      <w:rFonts w:ascii="Calibri Light" w:eastAsiaTheme="majorEastAsia" w:hAnsi="Calibri Light" w:cstheme="majorBidi"/>
      <w:b/>
      <w:sz w:val="22"/>
      <w:szCs w:val="32"/>
    </w:rPr>
  </w:style>
  <w:style w:type="paragraph" w:styleId="Ttulo2">
    <w:name w:val="heading 2"/>
    <w:basedOn w:val="Ttulo1"/>
    <w:next w:val="Normal"/>
    <w:link w:val="Ttulo2Char"/>
    <w:uiPriority w:val="9"/>
    <w:unhideWhenUsed/>
    <w:qFormat/>
    <w:rsid w:val="005F467C"/>
    <w:pPr>
      <w:outlineLvl w:val="1"/>
    </w:pPr>
    <w:rPr>
      <w:szCs w:val="26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basedOn w:val="Fontepargpadro"/>
    <w:link w:val="Ttulo"/>
    <w:uiPriority w:val="10"/>
    <w:qFormat/>
    <w:rsid w:val="00343DF5"/>
    <w:rPr>
      <w:rFonts w:ascii="Arial" w:eastAsiaTheme="majorEastAsia" w:hAnsi="Arial" w:cstheme="majorBidi"/>
      <w:spacing w:val="-10"/>
      <w:kern w:val="2"/>
      <w:sz w:val="28"/>
      <w:szCs w:val="56"/>
    </w:rPr>
  </w:style>
  <w:style w:type="character" w:customStyle="1" w:styleId="Ttulo1Char">
    <w:name w:val="Título 1 Char"/>
    <w:basedOn w:val="Fontepargpadro"/>
    <w:link w:val="Ttulo1"/>
    <w:uiPriority w:val="9"/>
    <w:qFormat/>
    <w:rsid w:val="005F467C"/>
    <w:rPr>
      <w:rFonts w:ascii="Calibri Light" w:eastAsiaTheme="majorEastAsia" w:hAnsi="Calibri Light" w:cstheme="majorBidi"/>
      <w:b/>
      <w:szCs w:val="32"/>
    </w:rPr>
  </w:style>
  <w:style w:type="character" w:customStyle="1" w:styleId="Ttulo2Char">
    <w:name w:val="Título 2 Char"/>
    <w:basedOn w:val="Fontepargpadro"/>
    <w:link w:val="Ttulo2"/>
    <w:uiPriority w:val="9"/>
    <w:qFormat/>
    <w:rsid w:val="005F467C"/>
    <w:rPr>
      <w:rFonts w:ascii="Calibri Light" w:eastAsiaTheme="majorEastAsia" w:hAnsi="Calibri Light" w:cstheme="majorBidi"/>
      <w:b/>
      <w:szCs w:val="26"/>
      <w:u w:val="single"/>
    </w:rPr>
  </w:style>
  <w:style w:type="paragraph" w:styleId="Ttulo">
    <w:name w:val="Title"/>
    <w:basedOn w:val="Normal"/>
    <w:next w:val="Corpodetexto"/>
    <w:link w:val="TtuloChar"/>
    <w:uiPriority w:val="10"/>
    <w:qFormat/>
    <w:rsid w:val="00343DF5"/>
    <w:pPr>
      <w:spacing w:after="0"/>
      <w:contextualSpacing/>
    </w:pPr>
    <w:rPr>
      <w:rFonts w:eastAsiaTheme="majorEastAsia" w:cstheme="majorBidi"/>
      <w:spacing w:val="-10"/>
      <w:kern w:val="2"/>
      <w:sz w:val="28"/>
      <w:szCs w:val="56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argrafodaLista">
    <w:name w:val="List Paragraph"/>
    <w:basedOn w:val="Normal"/>
    <w:uiPriority w:val="34"/>
    <w:qFormat/>
    <w:rsid w:val="00D33E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812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Lucas Marques de Souza</dc:creator>
  <cp:lastModifiedBy>Cristiana Fraga de Jesus</cp:lastModifiedBy>
  <cp:revision>2</cp:revision>
  <cp:lastPrinted>2024-10-24T16:22:00Z</cp:lastPrinted>
  <dcterms:created xsi:type="dcterms:W3CDTF">2026-03-06T13:08:00Z</dcterms:created>
  <dcterms:modified xsi:type="dcterms:W3CDTF">2026-03-06T13:08:00Z</dcterms:modified>
  <dc:language>pt-BR</dc:language>
</cp:coreProperties>
</file>