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AB6D3" w14:textId="77777777" w:rsidR="00FE22E8" w:rsidRDefault="00000000">
      <w:pPr>
        <w:spacing w:after="60"/>
      </w:pPr>
      <w:r>
        <w:rPr>
          <w:color w:val="555555"/>
          <w:sz w:val="24"/>
          <w:szCs w:val="24"/>
        </w:rPr>
        <w:t>A New Operating Model for</w:t>
      </w:r>
    </w:p>
    <w:p w14:paraId="55B4A03C" w14:textId="77777777" w:rsidR="00FE22E8" w:rsidRDefault="00000000">
      <w:pPr>
        <w:spacing w:after="100"/>
      </w:pPr>
      <w:r>
        <w:rPr>
          <w:b/>
          <w:bCs/>
          <w:color w:val="1F3864"/>
          <w:sz w:val="40"/>
          <w:szCs w:val="40"/>
        </w:rPr>
        <w:t>Citizen–Government Data Exchange</w:t>
      </w:r>
    </w:p>
    <w:p w14:paraId="0D73F7A4" w14:textId="77777777" w:rsidR="00FE22E8" w:rsidRDefault="00000000">
      <w:pPr>
        <w:spacing w:after="80"/>
      </w:pPr>
      <w:r>
        <w:rPr>
          <w:b/>
          <w:bCs/>
          <w:color w:val="2E75B6"/>
          <w:sz w:val="32"/>
          <w:szCs w:val="32"/>
        </w:rPr>
        <w:t>Functional Architecture</w:t>
      </w:r>
    </w:p>
    <w:p w14:paraId="34EFF9E3" w14:textId="77777777" w:rsidR="00FE22E8" w:rsidRDefault="00000000">
      <w:pPr>
        <w:spacing w:after="60"/>
      </w:pPr>
      <w:r>
        <w:rPr>
          <w:i/>
          <w:iCs/>
          <w:color w:val="444444"/>
        </w:rPr>
        <w:t>How the operating model works in practice — a plain-language account of the data model, the two processing layers, and the design choices that underpin them</w:t>
      </w:r>
    </w:p>
    <w:p w14:paraId="755252DA" w14:textId="77777777" w:rsidR="00FE22E8" w:rsidRDefault="00FE22E8">
      <w:pPr>
        <w:pBdr>
          <w:bottom w:val="single" w:sz="12" w:space="1" w:color="2E75B6"/>
        </w:pBdr>
        <w:spacing w:after="80"/>
      </w:pPr>
    </w:p>
    <w:p w14:paraId="724169C8" w14:textId="77777777" w:rsidR="00FE22E8" w:rsidRDefault="00000000">
      <w:pPr>
        <w:spacing w:after="480"/>
      </w:pPr>
      <w:r>
        <w:rPr>
          <w:color w:val="888888"/>
          <w:sz w:val="20"/>
          <w:szCs w:val="20"/>
        </w:rPr>
        <w:t>Version 0.1  |  March 2026  |  DRAFT FOR DISCUSSION</w:t>
      </w:r>
    </w:p>
    <w:p w14:paraId="52840FC5" w14:textId="77777777" w:rsidR="00FE22E8" w:rsidRDefault="00000000">
      <w:pPr>
        <w:spacing w:after="160"/>
      </w:pPr>
      <w:r>
        <w:t>This document describes how the operating model set out in the companion Vision Paper is realised in practice. It is addressed to senior civil servants, programme directors, and GDS assessors who need to understand how the system works without reference to any specific technology platform. It also serves as the bridge between the Vision Paper and the accompanying SI Technical Specification, which describes a Salesforce-based implementation of this architecture.</w:t>
      </w:r>
    </w:p>
    <w:p w14:paraId="2F5DEAFC" w14:textId="77777777" w:rsidR="00FE22E8" w:rsidRDefault="00000000">
      <w:pPr>
        <w:spacing w:after="160"/>
      </w:pPr>
      <w:r>
        <w:t>The account is organised in two parts, followed by a concluding section on non-functional requirements. Part One describes the structural logic of the system: what regimes, schedules and sections are, why that hierarchy exists, and how the two distinct processing layers are separated. Part Two covers the data model in detail, the routing engine, pre-population and provenance, and the permission and delegation model. The concluding section sets out the non-functional requirements that any implementation of this architecture must satisfy.</w:t>
      </w:r>
    </w:p>
    <w:p w14:paraId="410C8709" w14:textId="77777777" w:rsidR="00FE22E8" w:rsidRDefault="00FE22E8">
      <w:pPr>
        <w:spacing w:after="80"/>
      </w:pPr>
    </w:p>
    <w:p w14:paraId="18A534AC" w14:textId="77777777" w:rsidR="00FE22E8" w:rsidRDefault="00000000">
      <w:pPr>
        <w:shd w:val="clear" w:color="auto" w:fill="1F3864"/>
        <w:spacing w:before="200" w:after="200"/>
        <w:ind w:left="240" w:right="240"/>
      </w:pPr>
      <w:r>
        <w:rPr>
          <w:b/>
          <w:bCs/>
          <w:color w:val="FFFFFF"/>
          <w:sz w:val="24"/>
          <w:szCs w:val="24"/>
        </w:rPr>
        <w:t>PART ONE: STRUCTURE AND LAYERS</w:t>
      </w:r>
    </w:p>
    <w:p w14:paraId="14E25A24" w14:textId="77777777" w:rsidR="00FE22E8" w:rsidRDefault="00FE22E8">
      <w:pPr>
        <w:spacing w:after="80"/>
      </w:pPr>
    </w:p>
    <w:p w14:paraId="4AA8DEA2" w14:textId="77777777" w:rsidR="00FE22E8" w:rsidRDefault="00000000">
      <w:pPr>
        <w:pStyle w:val="Heading1"/>
      </w:pPr>
      <w:r>
        <w:t>1. From Services to Structure</w:t>
      </w:r>
    </w:p>
    <w:p w14:paraId="4B71D899" w14:textId="77777777" w:rsidR="00FE22E8" w:rsidRDefault="00000000">
      <w:pPr>
        <w:pStyle w:val="Heading2"/>
      </w:pPr>
      <w:r>
        <w:t>1.1 The starting point: public services as regimes</w:t>
      </w:r>
    </w:p>
    <w:p w14:paraId="698F4710" w14:textId="77777777" w:rsidR="00FE22E8" w:rsidRDefault="00000000">
      <w:pPr>
        <w:spacing w:after="160"/>
      </w:pPr>
      <w:r>
        <w:t xml:space="preserve">Citizens interact with government through discrete, purposeful services. Book a driving test. Apply for Bereavement Support Payment. Submit a Self Assessment return for Income Tax. Each of these is a self-contained transaction with a defined outcome: a booking confirmed, a payment initiated, a liability settled. In the language of this operating model, each is a </w:t>
      </w:r>
      <w:r>
        <w:rPr>
          <w:i/>
          <w:iCs/>
        </w:rPr>
        <w:t>regime</w:t>
      </w:r>
      <w:r>
        <w:t>.</w:t>
      </w:r>
    </w:p>
    <w:p w14:paraId="38A616B7" w14:textId="77777777" w:rsidR="00FE22E8" w:rsidRDefault="00000000">
      <w:pPr>
        <w:spacing w:after="160"/>
      </w:pPr>
      <w:r>
        <w:t>The three examples above are deliberately chosen to span the full range of complexity. Booking a driving test requires relatively little from the citizen — a handful of personal details, a preferred location and date. Applying for Bereavement Support Payment asks more: income, relationships, household circumstances. Completing a Self Assessment return for Income Tax is, for many citizens, the most demanding interaction they will ever have with government — multiple subjects, many questions, with the precise questions depending on the individual’s circumstances.</w:t>
      </w:r>
    </w:p>
    <w:p w14:paraId="56C24584" w14:textId="77777777" w:rsidR="00FE22E8" w:rsidRDefault="00000000">
      <w:pPr>
        <w:spacing w:after="160"/>
      </w:pPr>
      <w:r>
        <w:t>What these regimes share is structure. Each one requires the citizen to provide data, organised by subject. Each one can be broken into coherent topics — personal details, income, property, business activity — and each topic into individual questions. The challenge is to design a common architecture that can accommodate this range of complexity without treating each regime as a bespoke build.</w:t>
      </w:r>
    </w:p>
    <w:p w14:paraId="75F1CD64" w14:textId="77777777" w:rsidR="00FE22E8" w:rsidRDefault="00000000">
      <w:pPr>
        <w:pStyle w:val="Heading2"/>
      </w:pPr>
      <w:r>
        <w:t>1.2 The GDS principle: one question at a time</w:t>
      </w:r>
    </w:p>
    <w:p w14:paraId="58615982" w14:textId="77777777" w:rsidR="00FE22E8" w:rsidRDefault="00000000">
      <w:pPr>
        <w:spacing w:after="160"/>
      </w:pPr>
      <w:r>
        <w:lastRenderedPageBreak/>
        <w:t>The Government Digital Service design standard establishes that, wherever possible, a service should ask one question per page. This is not an aesthetic preference. It reduces cognitive load on the citizen, makes it easier to provide contextual guidance, simplifies error handling, and supports accessibility. The principle is well established and widely followed across government digital services.</w:t>
      </w:r>
    </w:p>
    <w:p w14:paraId="29B3A486" w14:textId="77777777" w:rsidR="00FE22E8" w:rsidRDefault="00000000">
      <w:pPr>
        <w:spacing w:after="160"/>
      </w:pPr>
      <w:r>
        <w:t xml:space="preserve">GDS practice also recognises that citizens need the opportunity to review and amend their answers before committing to them. A block of related questions — covering a coherent subject such as bank accounts or property holdings — is presented to the citizen at the end for review on a single </w:t>
      </w:r>
      <w:r>
        <w:rPr>
          <w:i/>
          <w:iCs/>
        </w:rPr>
        <w:t>check your answers</w:t>
      </w:r>
      <w:r>
        <w:t xml:space="preserve"> page, where they can correct anything before confirming. This confirmation step is both good service design and, in the context of this model, an important data quality mechanism: it is the moment at which the citizen freshly asserts their answers.</w:t>
      </w:r>
    </w:p>
    <w:p w14:paraId="6BBB696A" w14:textId="77777777" w:rsidR="00FE22E8" w:rsidRDefault="00000000">
      <w:pPr>
        <w:spacing w:after="160"/>
      </w:pPr>
      <w:r>
        <w:t xml:space="preserve">These two principles — one question per page, followed by a check your answers page — define the unit of citizen interaction: a </w:t>
      </w:r>
      <w:r>
        <w:rPr>
          <w:i/>
          <w:iCs/>
        </w:rPr>
        <w:t>section</w:t>
      </w:r>
      <w:r>
        <w:t>. A section covers a single coherent subject and contains enough questions to be meaningful, but few enough that a citizen can take in all their answers at a glance on the confirmation page. When that is no longer true — when the check your answers page becomes unwieldy — the subject should be split into two sections. This is not an arbitrary design rule; it is the natural consequence of the GDS confirmation principle applied consistently.</w:t>
      </w:r>
    </w:p>
    <w:p w14:paraId="0FC80551" w14:textId="77777777" w:rsidR="00FE22E8" w:rsidRDefault="00000000">
      <w:pPr>
        <w:pStyle w:val="Heading2"/>
      </w:pPr>
      <w:r>
        <w:t>1.3 The navigation challenge: from simple to complex</w:t>
      </w:r>
    </w:p>
    <w:p w14:paraId="0780A702" w14:textId="77777777" w:rsidR="00FE22E8" w:rsidRDefault="00000000">
      <w:pPr>
        <w:spacing w:after="160"/>
      </w:pPr>
      <w:r>
        <w:t>The Self Assessment tax return is familiar to millions of citizens. Its complexity is not accidental: it covers a wide range of income types, each relevant only to some citizens. The form achieves this through a navigational structure — a set of subject areas, each of which may or may not apply, and within each subject area a set of questions. The citizen is not asked every question; they are routed through the questions relevant to their circumstances.</w:t>
      </w:r>
    </w:p>
    <w:p w14:paraId="6D939C24" w14:textId="77777777" w:rsidR="00FE22E8" w:rsidRDefault="00000000">
      <w:pPr>
        <w:spacing w:after="160"/>
      </w:pPr>
      <w:r>
        <w:t>This navigational challenge — how to get the citizen to the right section — varies enormously across regimes. Consider three cases:</w:t>
      </w:r>
    </w:p>
    <w:p w14:paraId="52D9F58E" w14:textId="77777777" w:rsidR="00FE22E8" w:rsidRDefault="00000000">
      <w:pPr>
        <w:pStyle w:val="ListParagraph"/>
        <w:numPr>
          <w:ilvl w:val="0"/>
          <w:numId w:val="2"/>
        </w:numPr>
        <w:spacing w:after="100"/>
      </w:pPr>
      <w:r>
        <w:t>A driving test booking may have only a single section. As soon as the citizen begins the transaction, they are asked the first question of that section. There is nothing to navigate.</w:t>
      </w:r>
    </w:p>
    <w:p w14:paraId="0EAE38C2" w14:textId="77777777" w:rsidR="00FE22E8" w:rsidRDefault="00000000">
      <w:pPr>
        <w:pStyle w:val="ListParagraph"/>
        <w:numPr>
          <w:ilvl w:val="0"/>
          <w:numId w:val="2"/>
        </w:numPr>
        <w:spacing w:after="100"/>
      </w:pPr>
      <w:r>
        <w:t>A Bereavement Support Payment application has several distinct subjects — personal details, relationship to the deceased, income and circumstances — each forming its own section. The citizen chooses, or is directed to, each section in turn. There is a simple navigational step between the regime and the section.</w:t>
      </w:r>
    </w:p>
    <w:p w14:paraId="4CC41ABB" w14:textId="77777777" w:rsidR="00FE22E8" w:rsidRDefault="00000000">
      <w:pPr>
        <w:pStyle w:val="ListParagraph"/>
        <w:numPr>
          <w:ilvl w:val="0"/>
          <w:numId w:val="2"/>
        </w:numPr>
        <w:spacing w:after="100"/>
      </w:pPr>
      <w:r>
        <w:t>A Self Assessment return has a large number of sections, grouped into subject areas — employment income, self-employment, property income, foreign income, and so on. The citizen first selects which subject areas apply to them, and within each subject area works through the relevant sections. There is a two-level navigational structure: subject area, then section.</w:t>
      </w:r>
    </w:p>
    <w:p w14:paraId="1A4250E0" w14:textId="77777777" w:rsidR="00FE22E8" w:rsidRDefault="00FE22E8">
      <w:pPr>
        <w:spacing w:after="80"/>
      </w:pPr>
    </w:p>
    <w:p w14:paraId="7D256C26" w14:textId="77777777" w:rsidR="00FE22E8" w:rsidRDefault="00000000">
      <w:pPr>
        <w:spacing w:after="160"/>
      </w:pPr>
      <w:r>
        <w:t>These three patterns reflect a spectrum of navigational complexity, not fundamentally different architectures. The key insight is that the work of getting the citizen to the right section — whatever the complexity of that navigation — is logically and technically distinct from the work of processing the section once the citizen arrives.</w:t>
      </w:r>
    </w:p>
    <w:p w14:paraId="1FB2F8A6" w14:textId="77777777" w:rsidR="00FE22E8" w:rsidRDefault="00000000">
      <w:pPr>
        <w:pStyle w:val="Heading2"/>
      </w:pPr>
      <w:r>
        <w:t>1.4 Giving the structure formal names</w:t>
      </w:r>
    </w:p>
    <w:p w14:paraId="2FF9C21C" w14:textId="77777777" w:rsidR="00FE22E8" w:rsidRDefault="00000000">
      <w:pPr>
        <w:spacing w:after="160"/>
      </w:pPr>
      <w:r>
        <w:t>At this point it is useful to give the structural elements of the model formal names, and to distinguish those names from the everyday English words they resemble.</w:t>
      </w:r>
    </w:p>
    <w:p w14:paraId="1B9882CB" w14:textId="77777777" w:rsidR="00FE22E8" w:rsidRDefault="00000000">
      <w:pPr>
        <w:spacing w:after="160"/>
      </w:pPr>
      <w:r>
        <w:lastRenderedPageBreak/>
        <w:t xml:space="preserve">In what follows, </w:t>
      </w:r>
      <w:r>
        <w:rPr>
          <w:b/>
          <w:bCs/>
        </w:rPr>
        <w:t>Regime</w:t>
      </w:r>
      <w:r>
        <w:t xml:space="preserve">, </w:t>
      </w:r>
      <w:r>
        <w:rPr>
          <w:b/>
          <w:bCs/>
        </w:rPr>
        <w:t>Schedule</w:t>
      </w:r>
      <w:r>
        <w:t xml:space="preserve"> and </w:t>
      </w:r>
      <w:r>
        <w:rPr>
          <w:b/>
          <w:bCs/>
        </w:rPr>
        <w:t>Section</w:t>
      </w:r>
      <w:r>
        <w:t xml:space="preserve"> are used as defined terms, capitalised to signal that they refer to specific components of the data model rather than to services, subject areas or topics in general. Each is a named object that holds configuration data for all instances of that type — every regime, every schedule, every section across the entire platform is defined within its respective object.</w:t>
      </w:r>
    </w:p>
    <w:p w14:paraId="44DE5853" w14:textId="77777777" w:rsidR="00FE22E8" w:rsidRDefault="00000000">
      <w:pPr>
        <w:spacing w:after="160"/>
      </w:pPr>
      <w:r>
        <w:t xml:space="preserve">A </w:t>
      </w:r>
      <w:r>
        <w:rPr>
          <w:b/>
          <w:bCs/>
        </w:rPr>
        <w:t>Regime</w:t>
      </w:r>
      <w:r>
        <w:t xml:space="preserve"> is the configuration record for a single public service — the driving test booking, the Bereavement Support Payment application, the Self Assessment return. It holds the identity of the service and the references that connect it to its component Schedules or Sections.</w:t>
      </w:r>
    </w:p>
    <w:p w14:paraId="20EF32EF" w14:textId="77777777" w:rsidR="00FE22E8" w:rsidRDefault="00000000">
      <w:pPr>
        <w:spacing w:after="160"/>
      </w:pPr>
      <w:r>
        <w:t xml:space="preserve">A </w:t>
      </w:r>
      <w:r>
        <w:rPr>
          <w:b/>
          <w:bCs/>
        </w:rPr>
        <w:t>Schedule</w:t>
      </w:r>
      <w:r>
        <w:t xml:space="preserve"> is a named grouping of Sections within a Regime — the equivalent of a subject area in a Self Assessment return. Not all regimes require this intermediate level. Simple regimes connect directly from Regime to Section; only more complex regimes need the intermediate grouping that Schedule provides.</w:t>
      </w:r>
    </w:p>
    <w:p w14:paraId="1381B8F1" w14:textId="77777777" w:rsidR="00FE22E8" w:rsidRDefault="00000000">
      <w:pPr>
        <w:spacing w:after="160"/>
      </w:pPr>
      <w:r>
        <w:t xml:space="preserve">A </w:t>
      </w:r>
      <w:r>
        <w:rPr>
          <w:b/>
          <w:bCs/>
        </w:rPr>
        <w:t>Section</w:t>
      </w:r>
      <w:r>
        <w:t xml:space="preserve"> is the unit of citizen interaction: a coherent block of questions on a single subject, concluded by a check your answers confirmation. It is the same object whether it sits directly beneath a Regime or beneath a Schedule within a Regime. The citizen’s experience of working through a Section — one question per page, confirmation at the end — is identical regardless of how they arrived there.</w:t>
      </w:r>
    </w:p>
    <w:p w14:paraId="72A0BF47" w14:textId="77777777" w:rsidR="00FE22E8" w:rsidRDefault="00000000">
      <w:pPr>
        <w:pBdr>
          <w:left w:val="single" w:sz="18" w:space="8" w:color="2E75B6"/>
        </w:pBdr>
        <w:spacing w:before="200" w:after="200"/>
        <w:ind w:left="480" w:right="480"/>
      </w:pPr>
      <w:r>
        <w:rPr>
          <w:b/>
          <w:bCs/>
          <w:i/>
          <w:iCs/>
        </w:rPr>
        <w:t>The data model has three structural objects — Regime, Schedule, Section — where Schedule is optional. The navigational complexity of a regime is determined by which objects are in use and how they are connected. The processing of a Section is the same regardless.</w:t>
      </w:r>
    </w:p>
    <w:p w14:paraId="1BD6FCCF" w14:textId="77777777" w:rsidR="00FE22E8" w:rsidRDefault="00000000">
      <w:pPr>
        <w:pStyle w:val="Heading1"/>
      </w:pPr>
      <w:r>
        <w:t>2. Two Layers of Processing</w:t>
      </w:r>
    </w:p>
    <w:p w14:paraId="21AD47F9" w14:textId="77777777" w:rsidR="00FE22E8" w:rsidRDefault="00000000">
      <w:pPr>
        <w:spacing w:after="160"/>
      </w:pPr>
      <w:r>
        <w:t>The distinction between navigating to a section and processing a section is more than a conceptual convenience. It has a direct consequence for how the system is designed, built and maintained. The system’s processing is organised into two distinct layers, with a clean boundary between them.</w:t>
      </w:r>
    </w:p>
    <w:p w14:paraId="0FAEECD5" w14:textId="77777777" w:rsidR="00FE22E8" w:rsidRDefault="00000000">
      <w:pPr>
        <w:pStyle w:val="Heading2"/>
      </w:pPr>
      <w:r>
        <w:t>2.1 Layer 1: Orchestration</w:t>
      </w:r>
    </w:p>
    <w:p w14:paraId="44C064E5" w14:textId="77777777" w:rsidR="00FE22E8" w:rsidRDefault="00000000">
      <w:pPr>
        <w:spacing w:after="160"/>
      </w:pPr>
      <w:r>
        <w:t>Layer 1 is responsible for getting the citizen to the right Section. Its job is to present the appropriate navigational structure for the regime, respect any permission constraints on what the citizen or an intermediary is entitled to access, and hand off to Layer 2 at the point where the citizen selects a Section.</w:t>
      </w:r>
    </w:p>
    <w:p w14:paraId="23EB83E7" w14:textId="77777777" w:rsidR="00FE22E8" w:rsidRDefault="00000000">
      <w:pPr>
        <w:spacing w:after="160"/>
      </w:pPr>
      <w:r>
        <w:t>The three navigational patterns described above — single section, section menu, schedule-and-section menu — all represent different configurations of Layer 1. A simple regime has a minimal Layer 1: there is nothing to choose, and the hand-off to Layer 2 is immediate. A complex regime has a more elaborate Layer 1, presenting schedules and sections with status indicators and access controls. But in all cases, Layer 1 ends at the same point: the citizen has selected a Section, and processing of that Section begins.</w:t>
      </w:r>
    </w:p>
    <w:p w14:paraId="1D2FFF2D" w14:textId="77777777" w:rsidR="00FE22E8" w:rsidRDefault="00000000">
      <w:pPr>
        <w:spacing w:after="160"/>
      </w:pPr>
      <w:r>
        <w:t>Layer 1 is also where permission filtering is applied. Not all citizens, and not all intermediaries acting on a citizen’s behalf, have access to all sections of a regime. Layer 1 presents only those Sections to which the current user has been granted access. The permission model is described in detail in Part Two.</w:t>
      </w:r>
    </w:p>
    <w:p w14:paraId="555D150C" w14:textId="77777777" w:rsidR="00FE22E8" w:rsidRDefault="00000000">
      <w:pPr>
        <w:pStyle w:val="Heading2"/>
      </w:pPr>
      <w:r>
        <w:t>2.2 Layer 2: Section Processing</w:t>
      </w:r>
    </w:p>
    <w:p w14:paraId="6EFD53EF" w14:textId="77777777" w:rsidR="00FE22E8" w:rsidRDefault="00000000">
      <w:pPr>
        <w:spacing w:after="160"/>
      </w:pPr>
      <w:r>
        <w:t xml:space="preserve">Layer 2 is responsible for everything that happens inside a Section: presenting questions one at a time, evaluating routing rules to determine the next question, capturing answers, </w:t>
        <w:lastRenderedPageBreak/>
        <w:t>supporting amendment, pre-populating answers from previous interactions where the citizen has consented, and presenting the check your answers confirmation page at the end.</w:t>
      </w:r>
    </w:p>
    <w:p w14:paraId="0789EB38" w14:textId="77777777" w:rsidR="00FE22E8" w:rsidRDefault="00000000">
      <w:pPr>
        <w:spacing w:after="160"/>
      </w:pPr>
      <w:r>
        <w:t xml:space="preserve">The critical property of Layer 2 is that it is </w:t>
      </w:r>
      <w:r>
        <w:rPr>
          <w:b/>
          <w:bCs/>
        </w:rPr>
        <w:t>completely invariant</w:t>
      </w:r>
      <w:r>
        <w:t xml:space="preserve"> with respect to Layer 1 complexity. The citizen working through a single-section driving test booking and the citizen working through one section of a multi-schedule Self Assessment return are both processed by exactly the same Layer 2 engine. Layer 1 complexity has no bearing on what happens inside a Section.</w:t>
      </w:r>
    </w:p>
    <w:p w14:paraId="51116C54" w14:textId="77777777" w:rsidR="00FE22E8" w:rsidRDefault="00000000">
      <w:pPr>
        <w:spacing w:after="160"/>
      </w:pPr>
      <w:r>
        <w:t>This separation means that the Layer 2 engine — the most technically complex part of the system, responsible for question routing, answer capture and confirmation — can be built, tested and validated independently of any particular regime’s navigational structure. A fault found in Layer 2 is found once and fixed once, and the fix applies to every regime on the platform. A new regime with an unusual navigational structure requires only Layer 1 configuration; the Layer 2 engine it will use is already proven.</w:t>
      </w:r>
    </w:p>
    <w:p w14:paraId="2475BA12" w14:textId="77777777" w:rsidR="00FE22E8" w:rsidRDefault="00000000">
      <w:pPr>
        <w:pStyle w:val="Heading2"/>
      </w:pPr>
      <w:r>
        <w:t>2.3 The boundary between the layers</w:t>
      </w:r>
    </w:p>
    <w:p w14:paraId="536FF910" w14:textId="77777777" w:rsidR="00FE22E8" w:rsidRDefault="00000000">
      <w:pPr>
        <w:spacing w:after="160"/>
      </w:pPr>
      <w:r>
        <w:t>The boundary between Layer 1 and Layer 2 is well-defined. Layer 1 ends when a Section has been selected. Layer 2 begins with the first question of that Section and ends when the citizen has confirmed their answers on the check your answers page and the Section is marked complete.</w:t>
      </w:r>
    </w:p>
    <w:p w14:paraId="09B2C151" w14:textId="77777777" w:rsidR="00FE22E8" w:rsidRDefault="00000000">
      <w:pPr>
        <w:spacing w:after="160"/>
      </w:pPr>
      <w:r>
        <w:t>At that point, control returns to Layer 1, which updates the status of the completed Section and presents the citizen with their next navigational choice — which may be another Section in the same Schedule, the next Schedule, or a return to the regime overview, depending on the regime’s configuration.</w:t>
      </w:r>
    </w:p>
    <w:p w14:paraId="29AF067C" w14:textId="77777777" w:rsidR="00FE22E8" w:rsidRDefault="00000000">
      <w:pPr>
        <w:pBdr>
          <w:left w:val="single" w:sz="18" w:space="8" w:color="2E75B6"/>
        </w:pBdr>
        <w:spacing w:before="200" w:after="200"/>
        <w:ind w:left="480" w:right="480"/>
      </w:pPr>
      <w:r>
        <w:rPr>
          <w:b/>
          <w:bCs/>
          <w:i/>
          <w:iCs/>
        </w:rPr>
        <w:t>Layer 1 gets the citizen to the right Section. Layer 2 processes that Section. The boundary between them is the moment of Section selection. This separation allows the Section processing engine to be built and validated once, and reused across every regime on the platform.</w:t>
      </w:r>
    </w:p>
    <w:p w14:paraId="3A989685" w14:textId="77777777" w:rsidR="00FE22E8" w:rsidRDefault="00FE22E8">
      <w:pPr>
        <w:spacing w:after="80"/>
      </w:pPr>
    </w:p>
    <w:p w14:paraId="0AD32D22" w14:textId="77777777" w:rsidR="00FE22E8" w:rsidRDefault="00000000">
      <w:pPr>
        <w:shd w:val="clear" w:color="auto" w:fill="1F3864"/>
        <w:spacing w:before="200" w:after="200"/>
        <w:ind w:left="240" w:right="240"/>
      </w:pPr>
      <w:r>
        <w:rPr>
          <w:b/>
          <w:bCs/>
          <w:color w:val="FFFFFF"/>
          <w:sz w:val="24"/>
          <w:szCs w:val="24"/>
        </w:rPr>
        <w:t>PART TWO: THE DATA MODEL IN DETAIL</w:t>
      </w:r>
    </w:p>
    <w:p w14:paraId="62772965" w14:textId="77777777" w:rsidR="00FE22E8" w:rsidRDefault="00FE22E8">
      <w:pPr>
        <w:spacing w:after="80"/>
      </w:pPr>
    </w:p>
    <w:p w14:paraId="107C02CD" w14:textId="77777777" w:rsidR="00FE22E8" w:rsidRDefault="00000000">
      <w:pPr>
        <w:pStyle w:val="Heading1"/>
      </w:pPr>
      <w:r>
        <w:t>3. Questions, Routing and Answers</w:t>
      </w:r>
    </w:p>
    <w:p w14:paraId="008436A9" w14:textId="77777777" w:rsidR="00FE22E8" w:rsidRDefault="00000000">
      <w:pPr>
        <w:pStyle w:val="Heading2"/>
      </w:pPr>
      <w:r>
        <w:t>3.1 The Question object</w:t>
      </w:r>
    </w:p>
    <w:p w14:paraId="6B31B01B" w14:textId="77777777" w:rsidR="00FE22E8" w:rsidRDefault="00000000">
      <w:pPr>
        <w:spacing w:after="160"/>
      </w:pPr>
      <w:r>
        <w:t xml:space="preserve">Every question asked of a citizen — across every regime on the platform — is defined as a record in a single </w:t>
      </w:r>
      <w:r>
        <w:rPr>
          <w:b/>
          <w:bCs/>
        </w:rPr>
        <w:t>Question</w:t>
      </w:r>
      <w:r>
        <w:t xml:space="preserve"> object. A Question record holds everything needed to present the question correctly and capture the answer: the question text, a type (yes/no, free text, a number, a selection from a list, a checkbox group), optional hint text, and any validation rules that apply to the answer.</w:t>
      </w:r>
    </w:p>
    <w:p w14:paraId="6C3DFD49" w14:textId="77777777" w:rsidR="00FE22E8" w:rsidRDefault="00000000">
      <w:pPr>
        <w:spacing w:after="160"/>
      </w:pPr>
      <w:r>
        <w:t>Questions are defined once and reused across regimes. A question about date of birth, or National Insurance number, or address, is the same question regardless of which regime is asking it. This reuse has two benefits: it reduces the configuration effort when a new regime is added, and it is the mechanism by which answers from one regime can be offered as suggestions in another — because the same question in two regimes is, by definition, asking for the same piece of information.</w:t>
      </w:r>
    </w:p>
    <w:p w14:paraId="212ABA1B" w14:textId="77777777" w:rsidR="00FE22E8" w:rsidRDefault="00000000">
      <w:pPr>
        <w:spacing w:after="160"/>
      </w:pPr>
      <w:r>
        <w:lastRenderedPageBreak/>
        <w:t>Question types determine how the question is rendered to the citizen. The current set of supported types covers the full range needed for transactional public services: a yes/no or small-set choice rendered as radio buttons; free text for names, addresses and open answers; a number field for quantities and amounts; a selection from a longer list rendered as a dropdown; and a checkbox group for multiple-selection answers. Each type has a corresponding presentation template — described in the companion SI Technical Specification — which handles rendering, accessibility and GDS compliance.</w:t>
      </w:r>
    </w:p>
    <w:p w14:paraId="7F325687" w14:textId="77777777" w:rsidR="00FE22E8" w:rsidRDefault="00000000">
      <w:pPr>
        <w:pStyle w:val="Heading2"/>
      </w:pPr>
      <w:r>
        <w:t>3.2 Routing: conditional logic as data</w:t>
      </w:r>
    </w:p>
    <w:p w14:paraId="492E6623" w14:textId="77777777" w:rsidR="00FE22E8" w:rsidRDefault="00000000">
      <w:pPr>
        <w:spacing w:after="160"/>
      </w:pPr>
      <w:r>
        <w:t xml:space="preserve">The sequence in which questions are asked within a Section is not fixed. Most sections involve conditional branching: if the citizen answers yes to one question, they are directed to a different next question than if they answer no. In this model, that branching logic is held entirely as data in a </w:t>
      </w:r>
      <w:r>
        <w:rPr>
          <w:b/>
          <w:bCs/>
        </w:rPr>
        <w:t>Routing</w:t>
      </w:r>
      <w:r>
        <w:t xml:space="preserve"> object, not embedded in code.</w:t>
      </w:r>
    </w:p>
    <w:p w14:paraId="1411388A" w14:textId="77777777" w:rsidR="00FE22E8" w:rsidRDefault="00000000">
      <w:pPr>
        <w:spacing w:after="160"/>
      </w:pPr>
      <w:r>
        <w:t xml:space="preserve">Each Routing record expresses a simple rule: given </w:t>
      </w:r>
      <w:r>
        <w:rPr>
          <w:i/>
          <w:iCs/>
        </w:rPr>
        <w:t>this Section</w:t>
      </w:r>
      <w:r>
        <w:t xml:space="preserve">, at </w:t>
      </w:r>
      <w:r>
        <w:rPr>
          <w:i/>
          <w:iCs/>
        </w:rPr>
        <w:t>this Question</w:t>
      </w:r>
      <w:r>
        <w:t xml:space="preserve">, if the answer is </w:t>
      </w:r>
      <w:r>
        <w:rPr>
          <w:i/>
          <w:iCs/>
        </w:rPr>
        <w:t>this value</w:t>
      </w:r>
      <w:r>
        <w:t xml:space="preserve">, the next question is </w:t>
      </w:r>
      <w:r>
        <w:rPr>
          <w:i/>
          <w:iCs/>
        </w:rPr>
        <w:t>this</w:t>
      </w:r>
      <w:r>
        <w:t>. A special end-of-section marker indicates that the citizen has reached the confirmation page. Unconditional progressions — where the next question is the same regardless of the answer — are expressed as a Routing record with no answer-value condition.</w:t>
      </w:r>
    </w:p>
    <w:p w14:paraId="191C7EBA" w14:textId="61B0D37B" w:rsidR="00886B4E" w:rsidRPr="00886B4E" w:rsidRDefault="00886B4E">
      <w:pPr>
        <w:spacing w:after="160"/>
        <w:rPr>
          <w:rFonts w:asciiTheme="minorBidi" w:hAnsiTheme="minorBidi" w:cstheme="minorBidi"/>
        </w:rPr>
      </w:pPr>
      <w:r>
        <w:rPr>
          <w:rFonts w:asciiTheme="minorBidi" w:hAnsiTheme="minorBidi" w:cstheme="minorBidi"/>
          <w:color w:val="000000"/>
        </w:rPr>
        <w:t>The Routing object holds rows for every Section across every regime on the platform. Each row is labelled with its Section, so that when a citizen selects a Section in Layer 1, the first task of the Layer 2 engine is straightforward: retrieve all Routing rows for that Section, and the complete question-flow logic for that Section is in hand.</w:t>
      </w:r>
    </w:p>
    <w:p w14:paraId="73B2C837" w14:textId="77777777" w:rsidR="00FE22E8" w:rsidRDefault="00000000">
      <w:pPr>
        <w:spacing w:after="160"/>
      </w:pPr>
      <w:r>
        <w:t>The practical consequence is that the entire question flow of a Section is readable as a table. A policy analyst can inspect it, verify that it matches the policy intent, and identify any branches that are missing or incorrect. A civil servant can amend it — adding a new question, changing a branch condition, redirecting a flow — without writing a line of code or raising a development ticket. This is the direct realisation of Principle 3 from the Vision Paper: configuration as data, not code.</w:t>
      </w:r>
    </w:p>
    <w:p w14:paraId="2CB7EE20" w14:textId="77777777" w:rsidR="00FE22E8" w:rsidRDefault="00000000">
      <w:pPr>
        <w:spacing w:after="160"/>
      </w:pPr>
      <w:r>
        <w:t>The Routing object also enforces a natural discipline on section size. A section whose routing table has grown too large to inspect at a glance is a section that has grown too large for a citizen to review comfortably at the confirmation page. The two constraints — operational legibility and citizen UX — reinforce each other.</w:t>
      </w:r>
    </w:p>
    <w:p w14:paraId="27371D1D" w14:textId="77777777" w:rsidR="00FE22E8" w:rsidRDefault="00000000">
      <w:pPr>
        <w:pBdr>
          <w:left w:val="single" w:sz="18" w:space="8" w:color="2E75B6"/>
        </w:pBdr>
        <w:spacing w:before="200" w:after="200"/>
        <w:ind w:left="480" w:right="480"/>
      </w:pPr>
      <w:r>
        <w:rPr>
          <w:b/>
          <w:bCs/>
          <w:i/>
          <w:iCs/>
        </w:rPr>
        <w:t>Routing logic is explicit data, not embedded code. A policy analyst can read it. A civil servant can amend it. The barrier between policy intent and digital reality is removed.</w:t>
      </w:r>
    </w:p>
    <w:p w14:paraId="0864B310" w14:textId="77777777" w:rsidR="00FE22E8" w:rsidRDefault="00000000">
      <w:pPr>
        <w:pStyle w:val="Heading2"/>
      </w:pPr>
      <w:r>
        <w:t>3.3 The Answer object and answer history</w:t>
      </w:r>
    </w:p>
    <w:p w14:paraId="1A3611E8" w14:textId="77777777" w:rsidR="00FE22E8" w:rsidRDefault="00000000">
      <w:pPr>
        <w:spacing w:after="160"/>
      </w:pPr>
      <w:r>
        <w:t xml:space="preserve">When a citizen confirms a Section, their answers are recorded in an </w:t>
      </w:r>
      <w:r>
        <w:rPr>
          <w:b/>
          <w:bCs/>
        </w:rPr>
        <w:t>Answer</w:t>
      </w:r>
      <w:r>
        <w:t xml:space="preserve"> object. Each Answer record captures: which question was answered; in which case (the citizen’s instance of a regime); who provided the answer and on whose behalf; and when. The last two fields — actor and timestamp — are the provenance of the answer.</w:t>
      </w:r>
    </w:p>
    <w:p w14:paraId="2759A163" w14:textId="77777777" w:rsidR="00FE22E8" w:rsidRDefault="00000000">
      <w:pPr>
        <w:spacing w:after="160"/>
      </w:pPr>
      <w:r>
        <w:t>Answers are never silently overwritten. When a citizen amends a previously confirmed answer — whether in the current session or a later one — the previous answer is archived to an answer history record rather than deleted. The full history of every answer is available for audit: every version, every actor, every timestamp. This is not a technical nicety; it is the mechanism by which the model maintains the legal integrity of citizen-asserted data over time.</w:t>
      </w:r>
    </w:p>
    <w:p w14:paraId="5030B86F" w14:textId="06FFA001" w:rsidR="000260AE" w:rsidRPr="00DA7917" w:rsidRDefault="00000000" w:rsidP="00DA7917">
      <w:pPr>
        <w:spacing w:after="160"/>
        <w:rPr>
          <w:rFonts w:asciiTheme="minorBidi" w:hAnsiTheme="minorBidi" w:cstheme="minorBidi"/>
        </w:rPr>
      </w:pPr>
      <w:r>
        <w:t xml:space="preserve">The Answer object also supports two section types. The standard type — a sequence of individual questions — stores one Answer record per question per case. A second type, the </w:t>
        <w:lastRenderedPageBreak/>
        <w:t xml:space="preserve">table section, supports repeating-row entry: a citizen recording multiple bank accounts, or multiple properties, enters each as a row in a table. Table answers are stored as a structured record per section per case, with the row data held in a structured format. The citizen’s experience is different — a list they can add to, edit and delete from — but </w:t>
      </w:r>
      <w:r>
        <w:rPr>
          <w:rFonts w:asciiTheme="minorBidi" w:hAnsiTheme="minorBidi" w:cstheme="minorBidi"/>
          <w:color w:val="000000"/>
        </w:rPr>
        <w:t>the confirmation and history principles are the same.</w:t>
      </w:r>
    </w:p>
    <w:p w14:paraId="61F01DE3" w14:textId="235065C5" w:rsidR="003E5692" w:rsidRPr="003E5692" w:rsidRDefault="000260AE" w:rsidP="003E5692">
      <w:pPr>
        <w:pStyle w:val="font-claude-response-body"/>
        <w:rPr>
          <w:b/>
          <w:bCs/>
          <w:color w:val="000000"/>
          <w:sz w:val="27"/>
          <w:szCs w:val="27"/>
        </w:rPr>
      </w:pPr>
      <w:r>
        <w:rPr>
          <w:rFonts w:ascii="Arial" w:eastAsia="Arial" w:hAnsi="Arial" w:cs="Arial"/>
          <w:b/>
          <w:bCs/>
          <w:color w:val="2E75B6"/>
          <w:sz w:val="26"/>
          <w:szCs w:val="26"/>
        </w:rPr>
        <w:t xml:space="preserve">3.4 Two section types </w:t>
      </w:r>
    </w:p>
    <w:p w14:paraId="53B771B8" w14:textId="77777777" w:rsidR="003E5692" w:rsidRPr="003E5692" w:rsidRDefault="003E5692" w:rsidP="003E5692">
      <w:pPr>
        <w:spacing w:before="100" w:beforeAutospacing="1" w:after="100" w:afterAutospacing="1"/>
        <w:rPr>
          <w:rFonts w:asciiTheme="minorBidi" w:eastAsia="Times New Roman" w:hAnsiTheme="minorBidi" w:cstheme="minorBidi"/>
          <w:color w:val="000000"/>
        </w:rPr>
      </w:pPr>
      <w:r>
        <w:rPr>
          <w:rFonts w:asciiTheme="minorBidi" w:eastAsia="Times New Roman" w:hAnsiTheme="minorBidi" w:cstheme="minorBidi"/>
          <w:color w:val="000000"/>
        </w:rPr>
        <w:t>The Section object supports two interaction patterns, indicated by a type marker on the Section record itself.</w:t>
      </w:r>
    </w:p>
    <w:p w14:paraId="3F927B08" w14:textId="77777777" w:rsidR="003E5692" w:rsidRPr="003E5692" w:rsidRDefault="003E5692" w:rsidP="003E5692">
      <w:pPr>
        <w:spacing w:before="100" w:beforeAutospacing="1" w:after="100" w:afterAutospacing="1"/>
        <w:rPr>
          <w:rFonts w:asciiTheme="minorBidi" w:eastAsia="Times New Roman" w:hAnsiTheme="minorBidi" w:cstheme="minorBidi"/>
          <w:color w:val="000000"/>
        </w:rPr>
      </w:pPr>
      <w:r>
        <w:rPr>
          <w:rFonts w:asciiTheme="minorBidi" w:eastAsia="Times New Roman" w:hAnsiTheme="minorBidi" w:cstheme="minorBidi"/>
          <w:color w:val="000000"/>
        </w:rPr>
        <w:t>A </w:t>
      </w:r>
      <w:r>
        <w:rPr>
          <w:rFonts w:asciiTheme="minorBidi" w:eastAsia="Times New Roman" w:hAnsiTheme="minorBidi" w:cstheme="minorBidi"/>
          <w:b/>
          <w:bCs/>
          <w:color w:val="000000"/>
        </w:rPr>
        <w:t>standard section</w:t>
      </w:r>
      <w:r>
        <w:rPr>
          <w:rFonts w:asciiTheme="minorBidi" w:eastAsia="Times New Roman" w:hAnsiTheme="minorBidi" w:cstheme="minorBidi"/>
          <w:color w:val="000000"/>
        </w:rPr>
        <w:t> presents questions to the citizen one at a time, in a sequence determined by the routing table, concluding with a check your answers confirmation page. This is the default pattern and covers the large majority of regime sections.</w:t>
      </w:r>
    </w:p>
    <w:p w14:paraId="7186BDEA" w14:textId="77777777" w:rsidR="003E5692" w:rsidRPr="003E5692" w:rsidRDefault="003E5692" w:rsidP="003E5692">
      <w:pPr>
        <w:spacing w:before="100" w:beforeAutospacing="1" w:after="100" w:afterAutospacing="1"/>
        <w:rPr>
          <w:rFonts w:asciiTheme="minorBidi" w:eastAsia="Times New Roman" w:hAnsiTheme="minorBidi" w:cstheme="minorBidi"/>
          <w:color w:val="000000"/>
        </w:rPr>
      </w:pPr>
      <w:r>
        <w:rPr>
          <w:rFonts w:asciiTheme="minorBidi" w:eastAsia="Times New Roman" w:hAnsiTheme="minorBidi" w:cstheme="minorBidi"/>
          <w:color w:val="000000"/>
        </w:rPr>
        <w:t>A </w:t>
      </w:r>
      <w:r>
        <w:rPr>
          <w:rFonts w:asciiTheme="minorBidi" w:eastAsia="Times New Roman" w:hAnsiTheme="minorBidi" w:cstheme="minorBidi"/>
          <w:b/>
          <w:bCs/>
          <w:color w:val="000000"/>
        </w:rPr>
        <w:t>table section</w:t>
      </w:r>
      <w:r>
        <w:rPr>
          <w:rFonts w:asciiTheme="minorBidi" w:eastAsia="Times New Roman" w:hAnsiTheme="minorBidi" w:cstheme="minorBidi"/>
          <w:color w:val="000000"/>
        </w:rPr>
        <w:t> supports the entry of multiple records of the same structure — bank accounts, properties, employments, dependants — where the citizen needs to add, review and manage a list rather than answer a linear sequence of questions. The routing table drives the fields presented for each record in the same way it drives questions in a standard section; the interaction pattern around those fields is different.</w:t>
      </w:r>
    </w:p>
    <w:p w14:paraId="5930BC4F" w14:textId="77777777" w:rsidR="003E5692" w:rsidRPr="003E5692" w:rsidRDefault="003E5692" w:rsidP="003E5692">
      <w:pPr>
        <w:spacing w:before="100" w:beforeAutospacing="1" w:after="100" w:afterAutospacing="1"/>
        <w:rPr>
          <w:rFonts w:asciiTheme="minorBidi" w:eastAsia="Times New Roman" w:hAnsiTheme="minorBidi" w:cstheme="minorBidi"/>
          <w:color w:val="000000"/>
        </w:rPr>
      </w:pPr>
      <w:r>
        <w:rPr>
          <w:rFonts w:asciiTheme="minorBidi" w:eastAsia="Times New Roman" w:hAnsiTheme="minorBidi" w:cstheme="minorBidi"/>
          <w:color w:val="000000"/>
        </w:rPr>
        <w:t>Both section types conclude with a confirmation step at which the citizen's answers are committed to the answer record with a shared timestamp. The distinction between section types is entirely internal to Layer 2: Layer 1 orchestration is unaffected by which type a given section uses, and the routing object requires no modification to support either.</w:t>
      </w:r>
    </w:p>
    <w:p w14:paraId="3DB4F7BE" w14:textId="77777777" w:rsidR="003E5692" w:rsidRPr="003E5692" w:rsidRDefault="003E5692" w:rsidP="003E5692">
      <w:pPr>
        <w:spacing w:before="100" w:beforeAutospacing="1" w:after="100" w:afterAutospacing="1"/>
        <w:rPr>
          <w:rFonts w:asciiTheme="minorBidi" w:eastAsia="Times New Roman" w:hAnsiTheme="minorBidi" w:cstheme="minorBidi"/>
          <w:color w:val="000000"/>
        </w:rPr>
      </w:pPr>
      <w:r>
        <w:rPr>
          <w:rFonts w:asciiTheme="minorBidi" w:eastAsia="Times New Roman" w:hAnsiTheme="minorBidi" w:cstheme="minorBidi"/>
          <w:color w:val="000000"/>
        </w:rPr>
        <w:t>The detailed interaction mechanics of both section types — including the precise citizen journey through a table section and the state management requirements this implies — are specified in the companion SI Technical Specification.</w:t>
      </w:r>
    </w:p>
    <w:p w14:paraId="3E37861D" w14:textId="77777777" w:rsidR="00FE22E8" w:rsidRDefault="00000000">
      <w:pPr>
        <w:pStyle w:val="Heading1"/>
      </w:pPr>
      <w:r>
        <w:t>4. Pre-Population and Provenance</w:t>
      </w:r>
    </w:p>
    <w:p w14:paraId="7320EA43" w14:textId="77777777" w:rsidR="00FE22E8" w:rsidRDefault="00000000">
      <w:pPr>
        <w:pStyle w:val="Heading2"/>
      </w:pPr>
      <w:r>
        <w:t>4.1 The pre-population principle</w:t>
      </w:r>
    </w:p>
    <w:p w14:paraId="50C8037A" w14:textId="77777777" w:rsidR="00FE22E8" w:rsidRDefault="00000000">
      <w:pPr>
        <w:spacing w:after="160"/>
      </w:pPr>
      <w:r>
        <w:t>When a citizen begins a new regime, or returns to an incomplete one, the system checks whether any of the questions in that regime have already been answered in a previous regime. If they have, and if the citizen has consented to cross-regime data sharing, those previous answers are offered as suggested defaults.</w:t>
      </w:r>
    </w:p>
    <w:p w14:paraId="243A31F8" w14:textId="77777777" w:rsidR="00FE22E8" w:rsidRDefault="00000000">
      <w:pPr>
        <w:spacing w:after="160"/>
      </w:pPr>
      <w:r>
        <w:t>The operative word is offered. A pre-populated answer is a suggestion, not a fact. The citizen sees it presented as a default on the relevant question page, with a clear indication of where it came from and when it was last confirmed. They can accept it with a single action, or correct it. Either way, their response is freshly recorded as a new Answer, timestamped to the current session. The system does not assume the answer is still correct; it asks the citizen to confirm.</w:t>
      </w:r>
    </w:p>
    <w:p w14:paraId="679BB7FB" w14:textId="77777777" w:rsidR="00FE22E8" w:rsidRDefault="00000000">
      <w:pPr>
        <w:spacing w:after="160"/>
      </w:pPr>
      <w:r>
        <w:t>This is the direct realisation of Principle 2 from the Vision Paper: confirmation, not assumption. It means that every Answer in the system has been freshly asserted by the citizen, regardless of whether it originated from a suggestion. Data quality is built into the interaction model, not bolted on afterwards.</w:t>
      </w:r>
    </w:p>
    <w:p w14:paraId="5BEDFD8F" w14:textId="77777777" w:rsidR="00FE22E8" w:rsidRDefault="00000000">
      <w:pPr>
        <w:pStyle w:val="Heading2"/>
      </w:pPr>
      <w:r>
        <w:t>4.2 First-pass logic</w:t>
      </w:r>
    </w:p>
    <w:p w14:paraId="1ED02202" w14:textId="77777777" w:rsidR="003E5692" w:rsidRPr="003E5692" w:rsidRDefault="003E5692" w:rsidP="003E5692">
      <w:pPr>
        <w:pStyle w:val="font-claude-response-body"/>
        <w:rPr>
          <w:rFonts w:asciiTheme="minorBidi" w:hAnsiTheme="minorBidi" w:cstheme="minorBidi"/>
          <w:color w:val="000000"/>
          <w:sz w:val="22"/>
          <w:szCs w:val="22"/>
        </w:rPr>
      </w:pPr>
      <w:r>
        <w:rPr>
          <w:rFonts w:asciiTheme="minorBidi" w:hAnsiTheme="minorBidi" w:cstheme="minorBidi"/>
          <w:color w:val="000000"/>
          <w:sz w:val="22"/>
          <w:szCs w:val="22"/>
        </w:rPr>
        <w:lastRenderedPageBreak/>
        <w:t>Pre-population operates on a first-pass basis: the cross-regime lookup for a given question is performed once, at the point of first encounter, and is not repeated once the citizen has provided an answer in the current regime. This means pre-population never silently replaces an answer the citizen has already given, and the routing engine requires no knowledge of whether a given answer originated from a suggestion or was entered fresh.</w:t>
      </w:r>
    </w:p>
    <w:p w14:paraId="31B559E7" w14:textId="77777777" w:rsidR="003E5692" w:rsidRPr="003E5692" w:rsidRDefault="003E5692" w:rsidP="003E5692">
      <w:pPr>
        <w:pStyle w:val="font-claude-response-body"/>
        <w:rPr>
          <w:rFonts w:asciiTheme="minorBidi" w:hAnsiTheme="minorBidi" w:cstheme="minorBidi"/>
          <w:color w:val="000000"/>
          <w:sz w:val="22"/>
          <w:szCs w:val="22"/>
        </w:rPr>
      </w:pPr>
      <w:r>
        <w:rPr>
          <w:rFonts w:asciiTheme="minorBidi" w:hAnsiTheme="minorBidi" w:cstheme="minorBidi"/>
          <w:color w:val="000000"/>
          <w:sz w:val="22"/>
          <w:szCs w:val="22"/>
        </w:rPr>
        <w:t>The precise mechanics of when and how the lookup is performed — and how it is optimised for performance at scale — are addressed in the SI Technical Specification.</w:t>
      </w:r>
    </w:p>
    <w:p w14:paraId="3A78DE6C" w14:textId="77777777" w:rsidR="00FE22E8" w:rsidRDefault="00000000">
      <w:pPr>
        <w:pStyle w:val="Heading2"/>
      </w:pPr>
      <w:r>
        <w:t>4.3 Provenance and transparency</w:t>
      </w:r>
    </w:p>
    <w:p w14:paraId="49F9AC27" w14:textId="77777777" w:rsidR="00FE22E8" w:rsidRDefault="00000000">
      <w:pPr>
        <w:spacing w:after="160"/>
      </w:pPr>
      <w:r>
        <w:t>Every Answer record carries its provenance: which question it answers, in which case, provided by whom, on whose behalf, and when. When an answer is pre-populated from another regime, the provenance of the suggestion — which regime it came from and when it was last confirmed there — is displayed to the citizen alongside the suggested value.</w:t>
      </w:r>
    </w:p>
    <w:p w14:paraId="0A4E229F" w14:textId="77777777" w:rsidR="00FE22E8" w:rsidRDefault="00000000">
      <w:pPr>
        <w:spacing w:after="160"/>
      </w:pPr>
      <w:r>
        <w:t>This transparency serves two purposes. For the citizen, it is a trust mechanism: they can see that the system knows their previous answer, understand where it came from, and make an informed choice about whether to confirm or correct it. For government, it is a data quality mechanism: every confirmed answer in the system is traceable to a specific citizen action at a specific point in time, regardless of how many times it has been shared or re-confirmed across regimes.</w:t>
      </w:r>
    </w:p>
    <w:p w14:paraId="7292E80E" w14:textId="77777777" w:rsidR="00FE22E8" w:rsidRDefault="00000000">
      <w:pPr>
        <w:pStyle w:val="Heading2"/>
      </w:pPr>
      <w:r>
        <w:t>4.4 Closed-loop notifications (optional)</w:t>
      </w:r>
    </w:p>
    <w:p w14:paraId="08DD4711" w14:textId="77777777" w:rsidR="00FE22E8" w:rsidRDefault="00000000">
      <w:pPr>
        <w:spacing w:after="160"/>
      </w:pPr>
      <w:r>
        <w:t>The first four design principles of the operating model describe how data is captured well, shared with consent, confirmed as current, and delivered at scale. An optional fifth principle addresses what happens when citizen data changes after it has been shared.</w:t>
      </w:r>
    </w:p>
    <w:p w14:paraId="2BFC12E5" w14:textId="77777777" w:rsidR="00FE22E8" w:rsidRDefault="00000000">
      <w:pPr>
        <w:spacing w:after="160"/>
      </w:pPr>
      <w:r>
        <w:t>When a citizen corrects a pre-populated answer — a new address, a change in circumstances — the originating regime can, with the citizen’s explicit separate consent, be notified automatically. The mechanism is a notification from the platform to the originating department; what the department does with that notification is governed by its own scheme rules and is outside the scope of this model.</w:t>
      </w:r>
    </w:p>
    <w:p w14:paraId="006DAC1E" w14:textId="77777777" w:rsidR="00FE22E8" w:rsidRDefault="00000000">
      <w:pPr>
        <w:spacing w:after="160"/>
      </w:pPr>
      <w:r>
        <w:t>This capability is entirely optional. Citizens who prefer to limit their data footprint can decline the additional consent; the core model continues to function without it. Citizens who wish to stay compliant across multiple regimes without the burden of reporting changes separately gain a powerful tool for doing so. No element of the core architecture — routing, answer storage, pre-population, permissions — depends on closed-loop notifications being enabled.</w:t>
      </w:r>
    </w:p>
    <w:p w14:paraId="0A70B4F9" w14:textId="77777777" w:rsidR="00FE22E8" w:rsidRDefault="00000000">
      <w:pPr>
        <w:pStyle w:val="Heading1"/>
      </w:pPr>
      <w:r>
        <w:t>5. Permissions and Delegation</w:t>
      </w:r>
    </w:p>
    <w:p w14:paraId="20DB5F2B" w14:textId="77777777" w:rsidR="00FE22E8" w:rsidRDefault="00000000">
      <w:pPr>
        <w:pStyle w:val="Heading2"/>
      </w:pPr>
      <w:r>
        <w:t>5.1 The need for a permission model</w:t>
      </w:r>
    </w:p>
    <w:p w14:paraId="1ADEC822" w14:textId="77777777" w:rsidR="00FE22E8" w:rsidRDefault="00000000">
      <w:pPr>
        <w:spacing w:after="160"/>
      </w:pPr>
      <w:r>
        <w:t>Not every citizen completes a regime entirely on their own behalf. A recently widowed citizen may need a land agent to complete the agricultural property sections of an Inheritance Tax return, while completing the financial sections herself. A small business owner may instruct an accountant to complete a tax return on their behalf. A large estate may involve a solicitor, a land agent, and a financial adviser, each with access to different parts of the same regime.</w:t>
      </w:r>
    </w:p>
    <w:p w14:paraId="6FB07177" w14:textId="77777777" w:rsidR="00FE22E8" w:rsidRDefault="00000000">
      <w:pPr>
        <w:spacing w:after="160"/>
      </w:pPr>
      <w:r>
        <w:t>The model must support these intermediary relationships without requiring a separate technical solution for each relationship type, and without granting intermediaries broader access than the citizen intends. The solution is a permission model built on the same structural boundary that organises the citizen’s journey: the Section.</w:t>
      </w:r>
    </w:p>
    <w:p w14:paraId="5EFDD1C2" w14:textId="77777777" w:rsidR="00FE22E8" w:rsidRDefault="00000000">
      <w:pPr>
        <w:pStyle w:val="Heading2"/>
      </w:pPr>
      <w:r>
        <w:lastRenderedPageBreak/>
        <w:t>5.2 Users and actors</w:t>
      </w:r>
    </w:p>
    <w:p w14:paraId="4A64FAE2" w14:textId="77777777" w:rsidR="00FE22E8" w:rsidRDefault="00000000">
      <w:pPr>
        <w:spacing w:after="160"/>
      </w:pPr>
      <w:r>
        <w:t xml:space="preserve">The model distinguishes between two roles in every interaction. The </w:t>
      </w:r>
      <w:r>
        <w:rPr>
          <w:b/>
          <w:bCs/>
        </w:rPr>
        <w:t>User</w:t>
      </w:r>
      <w:r>
        <w:t xml:space="preserve"> is the citizen on whose behalf the regime is being completed — the person whose data is being recorded and whose entitlement or liability is at stake. The </w:t>
      </w:r>
      <w:r>
        <w:rPr>
          <w:b/>
          <w:bCs/>
        </w:rPr>
        <w:t>Actor</w:t>
      </w:r>
      <w:r>
        <w:t xml:space="preserve"> is the individual currently logged in and providing answers.</w:t>
      </w:r>
    </w:p>
    <w:p w14:paraId="1EF99029" w14:textId="77777777" w:rsidR="00FE22E8" w:rsidRDefault="00000000">
      <w:pPr>
        <w:spacing w:after="160"/>
      </w:pPr>
      <w:r>
        <w:t>In the default case, User and Actor are the same person: the citizen is completing the form themselves. When an intermediary is involved, the Actor is the intermediary and the User is the citizen they are acting for. Every Answer record captures both: the User to whom the answer belongs, and the Actor who provided it. The audit trail is therefore complete regardless of how many intermediaries have been involved.</w:t>
      </w:r>
    </w:p>
    <w:p w14:paraId="671C497D" w14:textId="77777777" w:rsidR="00FE22E8" w:rsidRDefault="00000000">
      <w:pPr>
        <w:pStyle w:val="Heading2"/>
      </w:pPr>
      <w:r>
        <w:t>5.3 Section-level grants</w:t>
      </w:r>
    </w:p>
    <w:p w14:paraId="433C1D06" w14:textId="77777777" w:rsidR="00FE22E8" w:rsidRDefault="00000000">
      <w:pPr>
        <w:spacing w:after="160"/>
      </w:pPr>
      <w:r>
        <w:t xml:space="preserve">A citizen — the User — can grant a named individual — an Actor — the right to complete specific Sections on their behalf. This grant is held in a </w:t>
      </w:r>
      <w:r>
        <w:rPr>
          <w:b/>
          <w:bCs/>
        </w:rPr>
        <w:t>Permission</w:t>
      </w:r>
      <w:r>
        <w:t xml:space="preserve"> record, which captures: the User, the Actor, the Section or Sections covered, the date the grant was made, and whether the Actor is permitted to delegate further.</w:t>
      </w:r>
    </w:p>
    <w:p w14:paraId="74323622" w14:textId="77777777" w:rsidR="00FE22E8" w:rsidRDefault="00000000">
      <w:pPr>
        <w:spacing w:after="160"/>
      </w:pPr>
      <w:r>
        <w:t>The Section is the permission boundary for two reasons. First, it is already the natural unit of the citizen’s interaction: Sections map to coherent subjects, and a citizen granting a land agent access to the land section is granting access to a unit they can understand and verify. Second, the Section is the unit at which Layer 1 orchestration operates: the permission check happens in the navigation layer, before any questions are shown. This means that an Actor without permission to a Section will never see its questions, and the Answer records for that Section are never in scope for them. Permission enforcement is navigational, not record-level.</w:t>
      </w:r>
    </w:p>
    <w:p w14:paraId="4553B714" w14:textId="77777777" w:rsidR="00FE22E8" w:rsidRDefault="00000000">
      <w:pPr>
        <w:spacing w:after="160"/>
      </w:pPr>
      <w:r>
        <w:t>The practical consequence is that a citizen can grant her land agent access to the land holdings section — and only that section. The land agent logs in, selects the citizen as the User they are acting for, and sees only the permitted section in the navigation menu. The bank account section, the investment section, and any other sections for which no grant exists are simply not presented. The land agent cannot navigate to them.</w:t>
      </w:r>
    </w:p>
    <w:p w14:paraId="37A35681" w14:textId="77777777" w:rsidR="00FE22E8" w:rsidRDefault="00000000">
      <w:pPr>
        <w:pStyle w:val="Heading2"/>
      </w:pPr>
      <w:r>
        <w:t>5.4 Delegation</w:t>
      </w:r>
    </w:p>
    <w:p w14:paraId="103A5D58" w14:textId="77777777" w:rsidR="00FE22E8" w:rsidRDefault="00000000">
      <w:pPr>
        <w:spacing w:after="160"/>
      </w:pPr>
      <w:r>
        <w:t>A Permission record may or may not include delegation rights. When it does, the Actor can pass their grant — or a subset of it — to another named individual. This models the common real-world pattern of a lead professional who holds the client relationship and delegates work to colleagues or staff.</w:t>
      </w:r>
    </w:p>
    <w:p w14:paraId="2A1BC193" w14:textId="77777777" w:rsidR="00FE22E8" w:rsidRDefault="00000000">
      <w:pPr>
        <w:spacing w:after="160"/>
      </w:pPr>
      <w:r>
        <w:t>The rules of delegation are straightforward:</w:t>
      </w:r>
    </w:p>
    <w:p w14:paraId="05DDFE9F" w14:textId="77777777" w:rsidR="00FE22E8" w:rsidRDefault="00000000">
      <w:pPr>
        <w:pStyle w:val="ListParagraph"/>
        <w:numPr>
          <w:ilvl w:val="0"/>
          <w:numId w:val="2"/>
        </w:numPr>
        <w:spacing w:after="100"/>
      </w:pPr>
      <w:r>
        <w:t>An Actor can only delegate Sections they themselves hold. They cannot grant access to Sections beyond their own permission scope.</w:t>
      </w:r>
    </w:p>
    <w:p w14:paraId="307DC18D" w14:textId="7009F753" w:rsidR="00FE22E8" w:rsidRDefault="00886B4E">
      <w:pPr>
        <w:pStyle w:val="ListParagraph"/>
        <w:numPr>
          <w:ilvl w:val="0"/>
          <w:numId w:val="2"/>
        </w:numPr>
        <w:spacing w:after="100"/>
      </w:pPr>
      <w:r>
        <w:rPr>
          <w:rFonts w:asciiTheme="minorBidi" w:hAnsiTheme="minorBidi" w:cstheme="minorBidi"/>
          <w:color w:val="000000"/>
        </w:rPr>
        <w:t>An Actor can delegate only if their own Permission record includes delegation rights. When doing so, they may choose to pass those delegation rights on to the recipient, or withhold them — but they cannot grant rights they do not themselves hold</w:t>
      </w:r>
      <w:r>
        <w:t>.</w:t>
      </w:r>
    </w:p>
    <w:p w14:paraId="63770301" w14:textId="77777777" w:rsidR="00FE22E8" w:rsidRDefault="00000000">
      <w:pPr>
        <w:pStyle w:val="ListParagraph"/>
        <w:numPr>
          <w:ilvl w:val="0"/>
          <w:numId w:val="2"/>
        </w:numPr>
        <w:spacing w:after="100"/>
      </w:pPr>
      <w:r>
        <w:t>Every delegation creates a new Permission record, capturing the delegating Actor, the recipient, the Sections covered, and the delegation rights granted. The full chain — from the citizen’s original grant to the most junior delegate — is recorded and auditable.</w:t>
      </w:r>
    </w:p>
    <w:p w14:paraId="67BB33D3" w14:textId="77777777" w:rsidR="00FE22E8" w:rsidRDefault="00FE22E8">
      <w:pPr>
        <w:spacing w:after="80"/>
      </w:pPr>
    </w:p>
    <w:p w14:paraId="13C0062A" w14:textId="77777777" w:rsidR="00FE22E8" w:rsidRDefault="00000000">
      <w:pPr>
        <w:spacing w:after="160"/>
      </w:pPr>
      <w:r>
        <w:t xml:space="preserve">Consider a practical example. Sarah grants her solicitor, Mr Williams, access to the probate section of an estate regime, with delegation rights. Mr Williams delegates that section to a </w:t>
        <w:lastRenderedPageBreak/>
        <w:t>junior colleague, Ms Patel, without delegation rights. Ms Patel can complete the probate section on Sarah’s behalf; she cannot delegate further. If Mr Williams leaves the firm, his grant — and Ms Patel’s derived grant — can be revoked, and a new grant made to his successor. The audit trail is preserved throughout.</w:t>
      </w:r>
    </w:p>
    <w:p w14:paraId="48B92AEF" w14:textId="77777777" w:rsidR="00FE22E8" w:rsidRDefault="00000000">
      <w:pPr>
        <w:pStyle w:val="Heading2"/>
      </w:pPr>
      <w:r>
        <w:t>5.5 Scope of the initial model</w:t>
      </w:r>
    </w:p>
    <w:p w14:paraId="02B0FD14" w14:textId="77777777" w:rsidR="00FE22E8" w:rsidRDefault="00000000">
      <w:pPr>
        <w:spacing w:after="160"/>
      </w:pPr>
      <w:r>
        <w:t>The permission model described above is specified for named individuals as both grantors and grantees. A citizen grants access to a named person; that named person may delegate to other named persons. The grant chain is always between individuals.</w:t>
      </w:r>
    </w:p>
    <w:p w14:paraId="5AE98B1B" w14:textId="77777777" w:rsidR="00FE22E8" w:rsidRDefault="00000000">
      <w:pPr>
        <w:spacing w:after="160"/>
      </w:pPr>
      <w:r>
        <w:t>This is sufficient for the large majority of real-world intermediary relationships: a citizen and their solicitor, a small business and its accountant, an estate and its professional advisers. It does not yet address organisational grants — where a citizen grants access to a firm rather than a named individual, and the firm manages internal allocation. That is a natural extension of the same model, deferred to a subsequent implementation phase.</w:t>
      </w:r>
    </w:p>
    <w:p w14:paraId="4C8A7668" w14:textId="5F10CD81" w:rsidR="00FE22E8" w:rsidRDefault="00000000">
      <w:pPr>
        <w:spacing w:after="160"/>
      </w:pPr>
      <w:r>
        <w:t>Similarly, the model does not address the corporate self-filing scenario — a company completing its own tax return with different teams responsible for different sections — in part because the introduction of Making Tax Digital has substantially addressed corporate tax filing through a different mechanism, requiring companies to use approved accounting software that handles submission directly.</w:t>
      </w:r>
    </w:p>
    <w:p w14:paraId="76ED5E54" w14:textId="77777777" w:rsidR="00FE22E8" w:rsidRDefault="00000000">
      <w:pPr>
        <w:pBdr>
          <w:left w:val="single" w:sz="18" w:space="8" w:color="2E75B6"/>
        </w:pBdr>
        <w:spacing w:before="200" w:after="200"/>
        <w:ind w:left="480" w:right="480"/>
      </w:pPr>
      <w:r>
        <w:rPr>
          <w:b/>
          <w:bCs/>
          <w:i/>
          <w:iCs/>
        </w:rPr>
        <w:t>The permission model is built on three simple concepts: a named User whose data is at stake, a named Actor completing sections on their behalf, and a Permission record that defines which Sections the Actor may access and whether they may delegate further. Section-level grants enforce a permission boundary the citizen can understand and verify.</w:t>
      </w:r>
    </w:p>
    <w:p w14:paraId="0B48A199" w14:textId="77777777" w:rsidR="00FE22E8" w:rsidRDefault="00000000">
      <w:pPr>
        <w:pStyle w:val="Heading1"/>
      </w:pPr>
      <w:r>
        <w:t>6. The Complete Data Model</w:t>
      </w:r>
    </w:p>
    <w:p w14:paraId="7C6C1F67" w14:textId="77777777" w:rsidR="00FE22E8" w:rsidRDefault="00000000">
      <w:pPr>
        <w:spacing w:after="160"/>
      </w:pPr>
      <w:r>
        <w:t>The seven objects described in this document form the complete data model of the operating model. The table below summarises each object, its purpose, and its relationship to the others.</w:t>
      </w:r>
    </w:p>
    <w:p w14:paraId="5AFDB4CB" w14:textId="77777777" w:rsidR="00FE22E8" w:rsidRDefault="00FE22E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00"/>
        <w:gridCol w:w="2600"/>
        <w:gridCol w:w="2226"/>
      </w:tblGrid>
      <w:tr w:rsidR="00FE22E8" w14:paraId="64118A5C" w14:textId="77777777">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520DABAF" w14:textId="77777777" w:rsidR="00FE22E8" w:rsidRPr="003E5692" w:rsidRDefault="00000000">
            <w:pPr>
              <w:spacing w:after="40"/>
            </w:pPr>
            <w:r>
              <w:rPr>
                <w:b/>
                <w:bCs/>
                <w:color w:val="FFFFFF"/>
              </w:rPr>
              <w:t>Object</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71802D8A" w14:textId="77777777" w:rsidR="00FE22E8" w:rsidRPr="003E5692" w:rsidRDefault="00000000">
            <w:pPr>
              <w:spacing w:after="40"/>
            </w:pPr>
            <w:r>
              <w:rPr>
                <w:b/>
                <w:bCs/>
                <w:color w:val="FFFFFF"/>
              </w:rPr>
              <w:t>Purpose</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5D600696" w14:textId="77777777" w:rsidR="00FE22E8" w:rsidRPr="003E5692" w:rsidRDefault="00000000">
            <w:pPr>
              <w:spacing w:after="40"/>
            </w:pPr>
            <w:r>
              <w:rPr>
                <w:b/>
                <w:bCs/>
                <w:color w:val="FFFFFF"/>
              </w:rPr>
              <w:t>Key fields</w:t>
            </w:r>
          </w:p>
        </w:tc>
        <w:tc>
          <w:tcPr>
            <w:tcW w:w="222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47E98148" w14:textId="77777777" w:rsidR="00FE22E8" w:rsidRPr="003E5692" w:rsidRDefault="00000000">
            <w:pPr>
              <w:spacing w:after="40"/>
            </w:pPr>
            <w:r>
              <w:rPr>
                <w:b/>
                <w:bCs/>
                <w:color w:val="FFFFFF"/>
              </w:rPr>
              <w:t>Relationships</w:t>
            </w:r>
          </w:p>
        </w:tc>
      </w:tr>
      <w:tr w:rsidR="00FE22E8" w14:paraId="228C5063" w14:textId="77777777">
        <w:tc>
          <w:tcPr>
            <w:tcW w:w="1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FF5D825" w14:textId="4EEE0D36" w:rsidR="00FE22E8" w:rsidRPr="003E5692" w:rsidRDefault="00886B4E">
            <w:pPr>
              <w:spacing w:after="60"/>
            </w:pPr>
            <w:r>
              <w:t>Regime</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71CC6B" w14:textId="77777777" w:rsidR="00FE22E8" w:rsidRPr="003E5692" w:rsidRDefault="00000000">
            <w:pPr>
              <w:spacing w:after="60"/>
            </w:pPr>
            <w:r>
              <w:t>Configuration record for a single public service</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9BC21ED" w14:textId="77777777" w:rsidR="00FE22E8" w:rsidRPr="003E5692" w:rsidRDefault="00000000">
            <w:pPr>
              <w:spacing w:after="60"/>
            </w:pPr>
            <w:r>
              <w:t>Name, identifier, top-level navigation type (direct-to-section or via Schedule)</w:t>
            </w:r>
          </w:p>
        </w:tc>
        <w:tc>
          <w:tcPr>
            <w:tcW w:w="222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16E6102" w14:textId="77777777" w:rsidR="00FE22E8" w:rsidRPr="003E5692" w:rsidRDefault="00000000">
            <w:pPr>
              <w:spacing w:after="60"/>
            </w:pPr>
            <w:r>
              <w:t>References Schedules or Sections directly</w:t>
            </w:r>
          </w:p>
        </w:tc>
      </w:tr>
      <w:tr w:rsidR="00FE22E8" w14:paraId="7806FFF4" w14:textId="77777777">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7BF4A474" w14:textId="6F095135" w:rsidR="00FE22E8" w:rsidRPr="003E5692" w:rsidRDefault="00886B4E">
            <w:pPr>
              <w:spacing w:after="60"/>
            </w:pPr>
            <w:r>
              <w:t>Schedule</w:t>
            </w:r>
          </w:p>
        </w:tc>
        <w:tc>
          <w:tcPr>
            <w:tcW w:w="260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7355E2B5" w14:textId="77777777" w:rsidR="00FE22E8" w:rsidRPr="003E5692" w:rsidRDefault="00000000">
            <w:pPr>
              <w:spacing w:after="60"/>
            </w:pPr>
            <w:r>
              <w:t>Named grouping of Sections within a Regime. Optional — not all regimes use Schedules</w:t>
            </w:r>
          </w:p>
        </w:tc>
        <w:tc>
          <w:tcPr>
            <w:tcW w:w="260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40E74199" w14:textId="77777777" w:rsidR="00FE22E8" w:rsidRPr="003E5692" w:rsidRDefault="00000000">
            <w:pPr>
              <w:spacing w:after="60"/>
            </w:pPr>
            <w:r>
              <w:t>Name, display order, parent Regime</w:t>
            </w:r>
          </w:p>
        </w:tc>
        <w:tc>
          <w:tcPr>
            <w:tcW w:w="2226"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02CC7090" w14:textId="77777777" w:rsidR="00FE22E8" w:rsidRPr="003E5692" w:rsidRDefault="00000000">
            <w:pPr>
              <w:spacing w:after="60"/>
            </w:pPr>
            <w:r>
              <w:t>Belongs to Regime; references Sections</w:t>
            </w:r>
          </w:p>
        </w:tc>
      </w:tr>
      <w:tr w:rsidR="00FE22E8" w14:paraId="17225E11" w14:textId="77777777">
        <w:tc>
          <w:tcPr>
            <w:tcW w:w="1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F9623F6" w14:textId="347E07F1" w:rsidR="00FE22E8" w:rsidRPr="003E5692" w:rsidRDefault="00886B4E">
            <w:pPr>
              <w:spacing w:after="60"/>
            </w:pPr>
            <w:r>
              <w:t>Section</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DEE698F" w14:textId="77777777" w:rsidR="00FE22E8" w:rsidRPr="003E5692" w:rsidRDefault="00000000">
            <w:pPr>
              <w:spacing w:after="60"/>
            </w:pPr>
            <w:r>
              <w:t>Unit of citizen interaction: a coherent block of questions on one subject</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E5480F2" w14:textId="77777777" w:rsidR="00FE22E8" w:rsidRPr="003E5692" w:rsidRDefault="00000000">
            <w:pPr>
              <w:spacing w:after="60"/>
            </w:pPr>
            <w:r>
              <w:t>Name, section type (standard or table), display order, parent Regime or Schedule</w:t>
            </w:r>
          </w:p>
        </w:tc>
        <w:tc>
          <w:tcPr>
            <w:tcW w:w="222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AE39044" w14:textId="77777777" w:rsidR="00FE22E8" w:rsidRPr="003E5692" w:rsidRDefault="00000000">
            <w:pPr>
              <w:spacing w:after="60"/>
            </w:pPr>
            <w:r>
              <w:t>Belongs to Regime or Schedule; references Questions via Routing</w:t>
            </w:r>
          </w:p>
        </w:tc>
      </w:tr>
      <w:tr w:rsidR="00FE22E8" w14:paraId="22E8244B" w14:textId="77777777">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1C7F7218" w14:textId="00EF96C2" w:rsidR="00FE22E8" w:rsidRPr="003E5692" w:rsidRDefault="00886B4E">
            <w:pPr>
              <w:spacing w:after="60"/>
            </w:pPr>
            <w:r>
              <w:lastRenderedPageBreak/>
              <w:t>Question</w:t>
            </w:r>
          </w:p>
        </w:tc>
        <w:tc>
          <w:tcPr>
            <w:tcW w:w="260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6048B3DF" w14:textId="77777777" w:rsidR="00FE22E8" w:rsidRPr="003E5692" w:rsidRDefault="00000000">
            <w:pPr>
              <w:spacing w:after="60"/>
            </w:pPr>
            <w:r>
              <w:t>A single question, defined once and reusable across regimes</w:t>
            </w:r>
          </w:p>
        </w:tc>
        <w:tc>
          <w:tcPr>
            <w:tcW w:w="260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602951D8" w14:textId="794EB37C" w:rsidR="00FE22E8" w:rsidRPr="003E5692" w:rsidRDefault="00000000">
            <w:pPr>
              <w:spacing w:after="60"/>
            </w:pPr>
            <w:r>
              <w:t>Question text, type (radio, text, number, list, checkbox), hint text, validation rules, totals flag (on/off) where question used in a table.</w:t>
            </w:r>
          </w:p>
        </w:tc>
        <w:tc>
          <w:tcPr>
            <w:tcW w:w="2226"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2C35B186" w14:textId="77777777" w:rsidR="00FE22E8" w:rsidRPr="003E5692" w:rsidRDefault="00000000">
            <w:pPr>
              <w:spacing w:after="60"/>
            </w:pPr>
            <w:r>
              <w:t>Referenced by Routing records</w:t>
            </w:r>
          </w:p>
        </w:tc>
      </w:tr>
      <w:tr w:rsidR="00FE22E8" w14:paraId="47A1B623" w14:textId="77777777">
        <w:tc>
          <w:tcPr>
            <w:tcW w:w="1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EC51714" w14:textId="71299903" w:rsidR="00FE22E8" w:rsidRPr="003E5692" w:rsidRDefault="00886B4E">
            <w:pPr>
              <w:spacing w:after="60"/>
            </w:pPr>
            <w:r>
              <w:t>Routing</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A133F32" w14:textId="77777777" w:rsidR="00FE22E8" w:rsidRPr="003E5692" w:rsidRDefault="00000000">
            <w:pPr>
              <w:spacing w:after="60"/>
            </w:pPr>
            <w:r>
              <w:t>Conditional logic: given this Section and Question, if the answer is this value, the next Question is this</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F6C2E57" w14:textId="66B72919" w:rsidR="00FE22E8" w:rsidRPr="003E5692" w:rsidRDefault="00000000">
            <w:pPr>
              <w:spacing w:after="60"/>
            </w:pPr>
            <w:r>
              <w:t>Section, current Question, answer value (optional), next Question (or end marker), first question marker (Boolean)</w:t>
            </w:r>
          </w:p>
        </w:tc>
        <w:tc>
          <w:tcPr>
            <w:tcW w:w="222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43A9CE4" w14:textId="77777777" w:rsidR="00FE22E8" w:rsidRPr="003E5692" w:rsidRDefault="00000000">
            <w:pPr>
              <w:spacing w:after="60"/>
            </w:pPr>
            <w:r>
              <w:t>References Section and Question; forms the complete question-flow graph for a Section</w:t>
            </w:r>
          </w:p>
        </w:tc>
      </w:tr>
      <w:tr w:rsidR="00FE22E8" w14:paraId="102D2B7D" w14:textId="77777777">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21D5385B" w14:textId="41FAD72B" w:rsidR="00FE22E8" w:rsidRPr="003E5692" w:rsidRDefault="00886B4E">
            <w:pPr>
              <w:spacing w:after="60"/>
            </w:pPr>
            <w:r>
              <w:t>Answer</w:t>
            </w:r>
          </w:p>
        </w:tc>
        <w:tc>
          <w:tcPr>
            <w:tcW w:w="260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0BDFB428" w14:textId="77777777" w:rsidR="00FE22E8" w:rsidRPr="003E5692" w:rsidRDefault="00000000">
            <w:pPr>
              <w:spacing w:after="60"/>
            </w:pPr>
            <w:r>
              <w:t>A citizen’s confirmed response to a Question, with full provenance</w:t>
            </w:r>
          </w:p>
        </w:tc>
        <w:tc>
          <w:tcPr>
            <w:tcW w:w="260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200F25BF" w14:textId="77777777" w:rsidR="00FE22E8" w:rsidRPr="003E5692" w:rsidRDefault="00000000">
            <w:pPr>
              <w:spacing w:after="60"/>
            </w:pPr>
            <w:r>
              <w:t>Question, Case (regime instance), User, Actor, answer value, timestamp; history records on amendment</w:t>
            </w:r>
          </w:p>
        </w:tc>
        <w:tc>
          <w:tcPr>
            <w:tcW w:w="2226"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0027C13F" w14:textId="77777777" w:rsidR="00FE22E8" w:rsidRPr="003E5692" w:rsidRDefault="00000000">
            <w:pPr>
              <w:spacing w:after="60"/>
            </w:pPr>
            <w:r>
              <w:t>Belongs to a Case; references Question, User and Actor</w:t>
            </w:r>
          </w:p>
        </w:tc>
      </w:tr>
      <w:tr w:rsidR="00FE22E8" w14:paraId="7CCE20C5" w14:textId="77777777">
        <w:tc>
          <w:tcPr>
            <w:tcW w:w="1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FEA0439" w14:textId="63015086" w:rsidR="00FE22E8" w:rsidRPr="003E5692" w:rsidRDefault="00886B4E">
            <w:pPr>
              <w:spacing w:after="60"/>
            </w:pPr>
            <w:r>
              <w:t>Permission</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FB0CE30" w14:textId="77777777" w:rsidR="00FE22E8" w:rsidRPr="003E5692" w:rsidRDefault="00000000">
            <w:pPr>
              <w:spacing w:after="60"/>
            </w:pPr>
            <w:r>
              <w:t>A grant by a User to a named Actor to complete specific Sections on their behalf</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CE2DE6D" w14:textId="77777777" w:rsidR="00FE22E8" w:rsidRPr="003E5692" w:rsidRDefault="00000000">
            <w:pPr>
              <w:spacing w:after="60"/>
            </w:pPr>
            <w:r>
              <w:t>User, Actor, Section(s) covered, grant date, delegation rights (yes/no), granted by (for delegation chain)</w:t>
            </w:r>
          </w:p>
        </w:tc>
        <w:tc>
          <w:tcPr>
            <w:tcW w:w="222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67BF762" w14:textId="77777777" w:rsidR="00FE22E8" w:rsidRPr="003E5692" w:rsidRDefault="00000000">
            <w:pPr>
              <w:spacing w:after="60"/>
            </w:pPr>
            <w:r>
              <w:t>References User, Actor and Section; linked to parent Permission for delegation chain</w:t>
            </w:r>
          </w:p>
        </w:tc>
      </w:tr>
    </w:tbl>
    <w:p w14:paraId="0ACC3249" w14:textId="77777777" w:rsidR="00FE22E8" w:rsidRDefault="00FE22E8">
      <w:pPr>
        <w:spacing w:after="80"/>
      </w:pPr>
    </w:p>
    <w:p w14:paraId="56B1D2CA" w14:textId="77777777" w:rsidR="00FE22E8" w:rsidRDefault="00FE22E8">
      <w:pPr>
        <w:spacing w:after="80"/>
      </w:pPr>
    </w:p>
    <w:p w14:paraId="1889E784" w14:textId="7629E7CF" w:rsidR="003E5692" w:rsidRPr="003E5692" w:rsidRDefault="003E5692" w:rsidP="003E5692">
      <w:pPr>
        <w:pStyle w:val="Heading2"/>
        <w:rPr>
          <w:rFonts w:asciiTheme="minorBidi" w:hAnsiTheme="minorBidi" w:cstheme="minorBidi"/>
          <w:color w:val="000000"/>
          <w:sz w:val="30"/>
          <w:szCs w:val="30"/>
        </w:rPr>
      </w:pPr>
      <w:r>
        <w:rPr>
          <w:rFonts w:asciiTheme="minorBidi" w:hAnsiTheme="minorBidi" w:cstheme="minorBidi"/>
          <w:sz w:val="30"/>
          <w:szCs w:val="30"/>
        </w:rPr>
        <w:t xml:space="preserve">7. Non-Functional Requirements  </w:t>
      </w:r>
    </w:p>
    <w:p w14:paraId="7D837676" w14:textId="77777777" w:rsidR="003E5692" w:rsidRPr="003E5692" w:rsidRDefault="003E5692" w:rsidP="003E5692">
      <w:pPr>
        <w:pStyle w:val="font-claude-response-body"/>
        <w:rPr>
          <w:rFonts w:asciiTheme="minorBidi" w:hAnsiTheme="minorBidi" w:cstheme="minorBidi"/>
          <w:color w:val="000000"/>
          <w:sz w:val="22"/>
          <w:szCs w:val="22"/>
        </w:rPr>
      </w:pPr>
      <w:r>
        <w:rPr>
          <w:rFonts w:asciiTheme="minorBidi" w:hAnsiTheme="minorBidi" w:cstheme="minorBidi"/>
          <w:color w:val="000000"/>
          <w:sz w:val="22"/>
          <w:szCs w:val="22"/>
        </w:rPr>
        <w:t>The functional architecture described in this document must be realised in any implementation in a way that satisfies the following non-functional requirements. These requirements are platform-agnostic: they apply equally to any technology choice, and any implementation must demonstrate how it meets them. The companion SI Technical Specification describes how they are addressed in the Salesforce-based implementation.</w:t>
      </w:r>
    </w:p>
    <w:p w14:paraId="37647FF5" w14:textId="77777777" w:rsidR="003E5692" w:rsidRPr="003E5692" w:rsidRDefault="003E5692" w:rsidP="003E5692">
      <w:pPr>
        <w:pStyle w:val="font-claude-response-body"/>
        <w:rPr>
          <w:rFonts w:asciiTheme="minorBidi" w:hAnsiTheme="minorBidi" w:cstheme="minorBidi"/>
          <w:color w:val="000000"/>
          <w:sz w:val="22"/>
          <w:szCs w:val="22"/>
        </w:rPr>
      </w:pPr>
      <w:r>
        <w:rPr>
          <w:rStyle w:val="Strong"/>
          <w:rFonts w:asciiTheme="minorBidi" w:hAnsiTheme="minorBidi" w:cstheme="minorBidi"/>
          <w:color w:val="000000"/>
          <w:sz w:val="22"/>
          <w:szCs w:val="22"/>
        </w:rPr>
        <w:t>Scale.</w:t>
      </w:r>
      <w:r>
        <w:rPr>
          <w:rStyle w:val="apple-converted-space"/>
          <w:rFonts w:asciiTheme="minorBidi" w:hAnsiTheme="minorBidi" w:cstheme="minorBidi"/>
          <w:color w:val="000000"/>
          <w:sz w:val="22"/>
          <w:szCs w:val="22"/>
        </w:rPr>
        <w:t> </w:t>
      </w:r>
      <w:r>
        <w:rPr>
          <w:rFonts w:asciiTheme="minorBidi" w:hAnsiTheme="minorBidi" w:cstheme="minorBidi"/>
          <w:color w:val="000000"/>
          <w:sz w:val="22"/>
          <w:szCs w:val="22"/>
        </w:rPr>
        <w:t>The model is designed for national deployment. Any implementation must support large volumes of concurrent users across multiple regimes and departments simultaneously, without degradation in response time or data integrity. The precise performance envelope will be defined in the non-functional requirements annex to the SI Technical Specification, but the architecture must not contain any structural bottlenecks that preclude scaling to that envelope.</w:t>
      </w:r>
    </w:p>
    <w:p w14:paraId="258DB3D8" w14:textId="77777777" w:rsidR="003E5692" w:rsidRPr="003E5692" w:rsidRDefault="003E5692" w:rsidP="003E5692">
      <w:pPr>
        <w:pStyle w:val="font-claude-response-body"/>
        <w:rPr>
          <w:rFonts w:asciiTheme="minorBidi" w:hAnsiTheme="minorBidi" w:cstheme="minorBidi"/>
          <w:color w:val="000000"/>
          <w:sz w:val="22"/>
          <w:szCs w:val="22"/>
        </w:rPr>
      </w:pPr>
      <w:r>
        <w:rPr>
          <w:rStyle w:val="Strong"/>
          <w:rFonts w:asciiTheme="minorBidi" w:hAnsiTheme="minorBidi" w:cstheme="minorBidi"/>
          <w:color w:val="000000"/>
          <w:sz w:val="22"/>
          <w:szCs w:val="22"/>
        </w:rPr>
        <w:t>Data isolation.</w:t>
      </w:r>
      <w:r>
        <w:rPr>
          <w:rStyle w:val="apple-converted-space"/>
          <w:rFonts w:asciiTheme="minorBidi" w:hAnsiTheme="minorBidi" w:cstheme="minorBidi"/>
          <w:color w:val="000000"/>
          <w:sz w:val="22"/>
          <w:szCs w:val="22"/>
        </w:rPr>
        <w:t> </w:t>
      </w:r>
      <w:r>
        <w:rPr>
          <w:rFonts w:asciiTheme="minorBidi" w:hAnsiTheme="minorBidi" w:cstheme="minorBidi"/>
          <w:color w:val="000000"/>
          <w:sz w:val="22"/>
          <w:szCs w:val="22"/>
        </w:rPr>
        <w:t>Answers belonging to one regime must be inaccessible to another regime except where the citizen has explicitly consented to cross-regime sharing. This isolation must be enforced architecturally — not merely by convention or access control configuration — and must hold across departments as well as across regimes within a single department.</w:t>
      </w:r>
    </w:p>
    <w:p w14:paraId="48393724" w14:textId="77777777" w:rsidR="003E5692" w:rsidRPr="003E5692" w:rsidRDefault="003E5692" w:rsidP="003E5692">
      <w:pPr>
        <w:pStyle w:val="font-claude-response-body"/>
        <w:rPr>
          <w:rFonts w:asciiTheme="minorBidi" w:hAnsiTheme="minorBidi" w:cstheme="minorBidi"/>
          <w:color w:val="000000"/>
          <w:sz w:val="22"/>
          <w:szCs w:val="22"/>
        </w:rPr>
      </w:pPr>
      <w:r>
        <w:rPr>
          <w:rStyle w:val="Strong"/>
          <w:rFonts w:asciiTheme="minorBidi" w:hAnsiTheme="minorBidi" w:cstheme="minorBidi"/>
          <w:color w:val="000000"/>
          <w:sz w:val="22"/>
          <w:szCs w:val="22"/>
        </w:rPr>
        <w:t>Audit.</w:t>
      </w:r>
      <w:r>
        <w:rPr>
          <w:rStyle w:val="apple-converted-space"/>
          <w:rFonts w:asciiTheme="minorBidi" w:hAnsiTheme="minorBidi" w:cstheme="minorBidi"/>
          <w:color w:val="000000"/>
          <w:sz w:val="22"/>
          <w:szCs w:val="22"/>
        </w:rPr>
        <w:t> </w:t>
      </w:r>
      <w:r>
        <w:rPr>
          <w:rFonts w:asciiTheme="minorBidi" w:hAnsiTheme="minorBidi" w:cstheme="minorBidi"/>
          <w:color w:val="000000"/>
          <w:sz w:val="22"/>
          <w:szCs w:val="22"/>
        </w:rPr>
        <w:t xml:space="preserve">Every answer, every amendment, every permission grant and every delegation must be permanently and tamper-evidently recorded. The audit trail must be complete: it must be </w:t>
        <w:lastRenderedPageBreak/>
        <w:t>possible to reconstruct, for any answer in the system at any point in time, who provided it, on whose behalf, in which regime, and what its full history of amendment has been. This is both a legal requirement and a citizen trust requirement.</w:t>
      </w:r>
    </w:p>
    <w:p w14:paraId="56053977" w14:textId="77777777" w:rsidR="003E5692" w:rsidRPr="003E5692" w:rsidRDefault="003E5692" w:rsidP="003E5692">
      <w:pPr>
        <w:pStyle w:val="font-claude-response-body"/>
        <w:rPr>
          <w:rFonts w:asciiTheme="minorBidi" w:hAnsiTheme="minorBidi" w:cstheme="minorBidi"/>
          <w:color w:val="000000"/>
          <w:sz w:val="22"/>
          <w:szCs w:val="22"/>
        </w:rPr>
      </w:pPr>
      <w:r>
        <w:rPr>
          <w:rStyle w:val="Strong"/>
          <w:rFonts w:asciiTheme="minorBidi" w:hAnsiTheme="minorBidi" w:cstheme="minorBidi"/>
          <w:color w:val="000000"/>
          <w:sz w:val="22"/>
          <w:szCs w:val="22"/>
        </w:rPr>
        <w:t>Accessibility.</w:t>
      </w:r>
      <w:r>
        <w:rPr>
          <w:rStyle w:val="apple-converted-space"/>
          <w:rFonts w:asciiTheme="minorBidi" w:hAnsiTheme="minorBidi" w:cstheme="minorBidi"/>
          <w:color w:val="000000"/>
          <w:sz w:val="22"/>
          <w:szCs w:val="22"/>
        </w:rPr>
        <w:t> </w:t>
      </w:r>
      <w:r>
        <w:rPr>
          <w:rFonts w:asciiTheme="minorBidi" w:hAnsiTheme="minorBidi" w:cstheme="minorBidi"/>
          <w:color w:val="000000"/>
          <w:sz w:val="22"/>
          <w:szCs w:val="22"/>
        </w:rPr>
        <w:t>Every citizen-facing interaction must meet WCAG 2.1 AA as a minimum. This requirement applies to every question type, every confirmation page, every navigation element, and every error state. Accessibility is not a feature to be added after build; it must be a structural property of the presentation layer from the outset.</w:t>
      </w:r>
    </w:p>
    <w:p w14:paraId="217A7ED2" w14:textId="77777777" w:rsidR="003E5692" w:rsidRPr="003E5692" w:rsidRDefault="003E5692" w:rsidP="003E5692">
      <w:pPr>
        <w:pStyle w:val="font-claude-response-body"/>
        <w:rPr>
          <w:rFonts w:asciiTheme="minorBidi" w:hAnsiTheme="minorBidi" w:cstheme="minorBidi"/>
          <w:color w:val="000000"/>
          <w:sz w:val="22"/>
          <w:szCs w:val="22"/>
        </w:rPr>
      </w:pPr>
      <w:r>
        <w:rPr>
          <w:rStyle w:val="Strong"/>
          <w:rFonts w:asciiTheme="minorBidi" w:hAnsiTheme="minorBidi" w:cstheme="minorBidi"/>
          <w:color w:val="000000"/>
          <w:sz w:val="22"/>
          <w:szCs w:val="22"/>
        </w:rPr>
        <w:t>Performance.</w:t>
      </w:r>
      <w:r>
        <w:rPr>
          <w:rStyle w:val="apple-converted-space"/>
          <w:rFonts w:asciiTheme="minorBidi" w:hAnsiTheme="minorBidi" w:cstheme="minorBidi"/>
          <w:color w:val="000000"/>
          <w:sz w:val="22"/>
          <w:szCs w:val="22"/>
        </w:rPr>
        <w:t> </w:t>
      </w:r>
      <w:r>
        <w:rPr>
          <w:rFonts w:asciiTheme="minorBidi" w:hAnsiTheme="minorBidi" w:cstheme="minorBidi"/>
          <w:color w:val="000000"/>
          <w:sz w:val="22"/>
          <w:szCs w:val="22"/>
        </w:rPr>
        <w:t>The citizen-facing interaction must be genuinely responsive. In particular, the transition between questions — the moment at which the citizen's answer is recorded and the next question is presented — must feel immediate. This has a direct architectural implication: the routing logic that determines the next question must be available to the presentation layer without a round-trip to a remote data store on every question transition. How this is achieved is an implementation decision; that it must be achieved is a functional requirement.</w:t>
      </w:r>
    </w:p>
    <w:p w14:paraId="73600A0A" w14:textId="77777777" w:rsidR="003E5692" w:rsidRPr="003E5692" w:rsidRDefault="003E5692" w:rsidP="003E5692">
      <w:pPr>
        <w:pStyle w:val="font-claude-response-body"/>
        <w:rPr>
          <w:rFonts w:asciiTheme="minorBidi" w:hAnsiTheme="minorBidi" w:cstheme="minorBidi"/>
          <w:color w:val="000000"/>
          <w:sz w:val="22"/>
          <w:szCs w:val="22"/>
        </w:rPr>
      </w:pPr>
      <w:r>
        <w:rPr>
          <w:rStyle w:val="Strong"/>
          <w:rFonts w:asciiTheme="minorBidi" w:hAnsiTheme="minorBidi" w:cstheme="minorBidi"/>
          <w:color w:val="000000"/>
          <w:sz w:val="22"/>
          <w:szCs w:val="22"/>
        </w:rPr>
        <w:t>Deployability.</w:t>
      </w:r>
      <w:r>
        <w:rPr>
          <w:rStyle w:val="apple-converted-space"/>
          <w:rFonts w:asciiTheme="minorBidi" w:hAnsiTheme="minorBidi" w:cstheme="minorBidi"/>
          <w:color w:val="000000"/>
          <w:sz w:val="22"/>
          <w:szCs w:val="22"/>
        </w:rPr>
        <w:t> </w:t>
      </w:r>
      <w:r>
        <w:rPr>
          <w:rFonts w:asciiTheme="minorBidi" w:hAnsiTheme="minorBidi" w:cstheme="minorBidi"/>
          <w:color w:val="000000"/>
          <w:sz w:val="22"/>
          <w:szCs w:val="22"/>
        </w:rPr>
        <w:t>The implementation must be capable of deployment into multiple independent organisational environments without bespoke configuration for each. A new department or regime should be onboardable through configuration alone, with no changes to the underlying platform. This requirement has significant implications for how the implementation is packaged and how regime configuration is separated from platform code — implications that are addressed in detail in the SI Technical Specification.</w:t>
      </w:r>
    </w:p>
    <w:p w14:paraId="7EF07907" w14:textId="77777777" w:rsidR="00FE22E8" w:rsidRDefault="00FE22E8">
      <w:pPr>
        <w:pBdr>
          <w:bottom w:val="single" w:sz="6" w:space="1" w:color="CCCCCC"/>
        </w:pBdr>
        <w:spacing w:before="160" w:after="160"/>
      </w:pPr>
    </w:p>
    <w:p w14:paraId="6A600617" w14:textId="35FC82D7" w:rsidR="00FE22E8" w:rsidRPr="001A1A4E" w:rsidRDefault="001A1A4E" w:rsidP="001A1A4E">
      <w:pPr>
        <w:spacing w:after="80"/>
        <w:rPr>
          <w:rFonts w:asciiTheme="minorBidi" w:hAnsiTheme="minorBidi" w:cstheme="minorBidi"/>
          <w:i/>
          <w:iCs/>
          <w:color w:val="555555"/>
        </w:rPr>
      </w:pPr>
      <w:r>
        <w:rPr>
          <w:rFonts w:asciiTheme="minorBidi" w:hAnsiTheme="minorBidi" w:cstheme="minorBidi"/>
          <w:i/>
          <w:iCs/>
          <w:color w:val="000000"/>
        </w:rPr>
        <w:t>This document describes the functional architecture of the operating model in platform-agnostic terms: the structural objects, the two processing layers, the routing and answer mechanics, the permission and delegation model, and the non-functional requirements that any implementation must satisfy. The companion SI Technical Specification describes how each of these is realised on Salesforce Experience Cloud — including the component architecture, the approach to scale and performance, the managed package design, and the indicative build scope.</w:t>
      </w:r>
      <w:r>
        <w:rPr>
          <w:rFonts w:asciiTheme="minorBidi" w:hAnsiTheme="minorBidi" w:cstheme="minorBidi"/>
          <w:i/>
          <w:iCs/>
          <w:color w:val="555555"/>
        </w:rPr>
        <w:t xml:space="preserve"> </w:t>
      </w:r>
    </w:p>
    <w:p w14:paraId="785AF432" w14:textId="77777777" w:rsidR="001A1A4E" w:rsidRDefault="001A1A4E" w:rsidP="001A1A4E">
      <w:pPr>
        <w:spacing w:after="80"/>
        <w:rPr>
          <w:i/>
          <w:iCs/>
          <w:color w:val="555555"/>
        </w:rPr>
      </w:pPr>
    </w:p>
    <w:p w14:paraId="2BE2B7F0" w14:textId="77777777" w:rsidR="001A1A4E" w:rsidRDefault="001A1A4E" w:rsidP="001A1A4E">
      <w:pPr>
        <w:spacing w:after="80"/>
      </w:pPr>
    </w:p>
    <w:p w14:paraId="00D686A3" w14:textId="77777777" w:rsidR="00FE22E8" w:rsidRDefault="00000000">
      <w:pPr>
        <w:spacing w:after="40"/>
      </w:pPr>
      <w:r>
        <w:rPr>
          <w:i/>
          <w:iCs/>
          <w:color w:val="888888"/>
          <w:sz w:val="20"/>
          <w:szCs w:val="20"/>
        </w:rPr>
        <w:t>DRAFT FOR DISCUSSION — Not for wider circulation</w:t>
      </w:r>
    </w:p>
    <w:sectPr w:rsidR="00FE22E8">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E1C24" w14:textId="77777777" w:rsidR="002B03D7" w:rsidRDefault="002B03D7">
      <w:r>
        <w:separator/>
      </w:r>
    </w:p>
  </w:endnote>
  <w:endnote w:type="continuationSeparator" w:id="0">
    <w:p w14:paraId="3EE79C93" w14:textId="77777777" w:rsidR="002B03D7" w:rsidRDefault="002B03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8C7F1" w14:textId="77777777" w:rsidR="00FE22E8" w:rsidRDefault="00000000">
    <w:pPr>
      <w:pBdr>
        <w:top w:val="single" w:sz="6" w:space="1" w:color="2E75B6"/>
      </w:pBdr>
      <w:tabs>
        <w:tab w:val="right" w:pos="9026"/>
      </w:tabs>
    </w:pPr>
    <w:r>
      <w:rPr>
        <w:color w:val="888888"/>
        <w:sz w:val="18"/>
        <w:szCs w:val="18"/>
      </w:rPr>
      <w:t xml:space="preserve">Version </w:t>
    </w:r>
    <w:proofErr w:type="gramStart"/>
    <w:r>
      <w:rPr>
        <w:color w:val="888888"/>
        <w:sz w:val="18"/>
        <w:szCs w:val="18"/>
      </w:rPr>
      <w:t>0.1  |</w:t>
    </w:r>
    <w:proofErr w:type="gramEnd"/>
    <w:r>
      <w:rPr>
        <w:color w:val="888888"/>
        <w:sz w:val="18"/>
        <w:szCs w:val="18"/>
      </w:rPr>
      <w:t xml:space="preserve">  March </w:t>
    </w:r>
    <w:proofErr w:type="gramStart"/>
    <w:r>
      <w:rPr>
        <w:color w:val="888888"/>
        <w:sz w:val="18"/>
        <w:szCs w:val="18"/>
      </w:rPr>
      <w:t>2026  |</w:t>
    </w:r>
    <w:proofErr w:type="gramEnd"/>
    <w:r>
      <w:rPr>
        <w:color w:val="888888"/>
        <w:sz w:val="18"/>
        <w:szCs w:val="18"/>
      </w:rPr>
      <w:t xml:space="preserve">  DRAFT FOR DISCUSSION</w:t>
    </w:r>
    <w:r>
      <w:rPr>
        <w:sz w:val="18"/>
        <w:szCs w:val="18"/>
      </w:rPr>
      <w:tab/>
    </w:r>
    <w:r>
      <w:rPr>
        <w:color w:val="888888"/>
        <w:sz w:val="18"/>
        <w:szCs w:val="18"/>
      </w:rPr>
      <w:t xml:space="preserve">Page </w:t>
    </w:r>
    <w:r>
      <w:fldChar w:fldCharType="begin"/>
    </w:r>
    <w:r>
      <w:instrText>PAGE</w:instrText>
    </w:r>
    <w:r>
      <w:fldChar w:fldCharType="separate"/>
    </w:r>
    <w:r w:rsidR="000D798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5DA4B" w14:textId="77777777" w:rsidR="002B03D7" w:rsidRDefault="002B03D7">
      <w:r>
        <w:separator/>
      </w:r>
    </w:p>
  </w:footnote>
  <w:footnote w:type="continuationSeparator" w:id="0">
    <w:p w14:paraId="0DF569D7" w14:textId="77777777" w:rsidR="002B03D7" w:rsidRDefault="002B03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95E7D" w14:textId="77777777" w:rsidR="00FE22E8" w:rsidRDefault="00000000">
    <w:pPr>
      <w:pBdr>
        <w:bottom w:val="single" w:sz="6" w:space="1" w:color="2E75B6"/>
      </w:pBdr>
    </w:pPr>
    <w:r>
      <w:rPr>
        <w:color w:val="888888"/>
        <w:sz w:val="18"/>
        <w:szCs w:val="18"/>
      </w:rPr>
      <w:t xml:space="preserve">Citizen–Government Data </w:t>
    </w:r>
    <w:proofErr w:type="gramStart"/>
    <w:r>
      <w:rPr>
        <w:color w:val="888888"/>
        <w:sz w:val="18"/>
        <w:szCs w:val="18"/>
      </w:rPr>
      <w:t>Exchange  —</w:t>
    </w:r>
    <w:proofErr w:type="gramEnd"/>
    <w:r>
      <w:rPr>
        <w:color w:val="888888"/>
        <w:sz w:val="18"/>
        <w:szCs w:val="18"/>
      </w:rPr>
      <w:t xml:space="preserve">  Functional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052BA"/>
    <w:multiLevelType w:val="hybridMultilevel"/>
    <w:tmpl w:val="E7A8CC8C"/>
    <w:lvl w:ilvl="0" w:tplc="8F5E9886">
      <w:start w:val="1"/>
      <w:numFmt w:val="decimal"/>
      <w:lvlText w:val="%1."/>
      <w:lvlJc w:val="left"/>
      <w:pPr>
        <w:ind w:left="720" w:hanging="360"/>
      </w:pPr>
    </w:lvl>
    <w:lvl w:ilvl="1" w:tplc="DA90879E">
      <w:numFmt w:val="decimal"/>
      <w:lvlText w:val=""/>
      <w:lvlJc w:val="left"/>
    </w:lvl>
    <w:lvl w:ilvl="2" w:tplc="5D948944">
      <w:numFmt w:val="decimal"/>
      <w:lvlText w:val=""/>
      <w:lvlJc w:val="left"/>
    </w:lvl>
    <w:lvl w:ilvl="3" w:tplc="920E8686">
      <w:numFmt w:val="decimal"/>
      <w:lvlText w:val=""/>
      <w:lvlJc w:val="left"/>
    </w:lvl>
    <w:lvl w:ilvl="4" w:tplc="6D18D4CA">
      <w:numFmt w:val="decimal"/>
      <w:lvlText w:val=""/>
      <w:lvlJc w:val="left"/>
    </w:lvl>
    <w:lvl w:ilvl="5" w:tplc="CF826AF6">
      <w:numFmt w:val="decimal"/>
      <w:lvlText w:val=""/>
      <w:lvlJc w:val="left"/>
    </w:lvl>
    <w:lvl w:ilvl="6" w:tplc="B912991E">
      <w:numFmt w:val="decimal"/>
      <w:lvlText w:val=""/>
      <w:lvlJc w:val="left"/>
    </w:lvl>
    <w:lvl w:ilvl="7" w:tplc="BB1CBDDE">
      <w:numFmt w:val="decimal"/>
      <w:lvlText w:val=""/>
      <w:lvlJc w:val="left"/>
    </w:lvl>
    <w:lvl w:ilvl="8" w:tplc="77BAB690">
      <w:numFmt w:val="decimal"/>
      <w:lvlText w:val=""/>
      <w:lvlJc w:val="left"/>
    </w:lvl>
  </w:abstractNum>
  <w:abstractNum w:abstractNumId="1" w15:restartNumberingAfterBreak="0">
    <w:nsid w:val="1F3023B7"/>
    <w:multiLevelType w:val="hybridMultilevel"/>
    <w:tmpl w:val="BFB411D6"/>
    <w:lvl w:ilvl="0" w:tplc="923C75BE">
      <w:start w:val="1"/>
      <w:numFmt w:val="bullet"/>
      <w:lvlText w:val="●"/>
      <w:lvlJc w:val="left"/>
      <w:pPr>
        <w:ind w:left="720" w:hanging="360"/>
      </w:pPr>
    </w:lvl>
    <w:lvl w:ilvl="1" w:tplc="92DEE2E0">
      <w:start w:val="1"/>
      <w:numFmt w:val="bullet"/>
      <w:lvlText w:val="○"/>
      <w:lvlJc w:val="left"/>
      <w:pPr>
        <w:ind w:left="1440" w:hanging="360"/>
      </w:pPr>
    </w:lvl>
    <w:lvl w:ilvl="2" w:tplc="55BEEC9E">
      <w:start w:val="1"/>
      <w:numFmt w:val="bullet"/>
      <w:lvlText w:val="■"/>
      <w:lvlJc w:val="left"/>
      <w:pPr>
        <w:ind w:left="2160" w:hanging="360"/>
      </w:pPr>
    </w:lvl>
    <w:lvl w:ilvl="3" w:tplc="30E8A678">
      <w:start w:val="1"/>
      <w:numFmt w:val="bullet"/>
      <w:lvlText w:val="●"/>
      <w:lvlJc w:val="left"/>
      <w:pPr>
        <w:ind w:left="2880" w:hanging="360"/>
      </w:pPr>
    </w:lvl>
    <w:lvl w:ilvl="4" w:tplc="D8D4BE1E">
      <w:start w:val="1"/>
      <w:numFmt w:val="bullet"/>
      <w:lvlText w:val="○"/>
      <w:lvlJc w:val="left"/>
      <w:pPr>
        <w:ind w:left="3600" w:hanging="360"/>
      </w:pPr>
    </w:lvl>
    <w:lvl w:ilvl="5" w:tplc="3B1E6B0A">
      <w:start w:val="1"/>
      <w:numFmt w:val="bullet"/>
      <w:lvlText w:val="■"/>
      <w:lvlJc w:val="left"/>
      <w:pPr>
        <w:ind w:left="4320" w:hanging="360"/>
      </w:pPr>
    </w:lvl>
    <w:lvl w:ilvl="6" w:tplc="C7F20706">
      <w:start w:val="1"/>
      <w:numFmt w:val="bullet"/>
      <w:lvlText w:val="●"/>
      <w:lvlJc w:val="left"/>
      <w:pPr>
        <w:ind w:left="5040" w:hanging="360"/>
      </w:pPr>
    </w:lvl>
    <w:lvl w:ilvl="7" w:tplc="B8D2CC1C">
      <w:start w:val="1"/>
      <w:numFmt w:val="bullet"/>
      <w:lvlText w:val="●"/>
      <w:lvlJc w:val="left"/>
      <w:pPr>
        <w:ind w:left="5760" w:hanging="360"/>
      </w:pPr>
    </w:lvl>
    <w:lvl w:ilvl="8" w:tplc="CBFE7F86">
      <w:start w:val="1"/>
      <w:numFmt w:val="bullet"/>
      <w:lvlText w:val="●"/>
      <w:lvlJc w:val="left"/>
      <w:pPr>
        <w:ind w:left="6480" w:hanging="360"/>
      </w:pPr>
    </w:lvl>
  </w:abstractNum>
  <w:abstractNum w:abstractNumId="2" w15:restartNumberingAfterBreak="0">
    <w:nsid w:val="3CB640E8"/>
    <w:multiLevelType w:val="hybridMultilevel"/>
    <w:tmpl w:val="83EA3C22"/>
    <w:lvl w:ilvl="0" w:tplc="691A82E6">
      <w:start w:val="1"/>
      <w:numFmt w:val="bullet"/>
      <w:lvlText w:val="•"/>
      <w:lvlJc w:val="left"/>
      <w:pPr>
        <w:ind w:left="720" w:hanging="360"/>
      </w:pPr>
    </w:lvl>
    <w:lvl w:ilvl="1" w:tplc="365024CC">
      <w:numFmt w:val="decimal"/>
      <w:lvlText w:val=""/>
      <w:lvlJc w:val="left"/>
    </w:lvl>
    <w:lvl w:ilvl="2" w:tplc="0EE4A27E">
      <w:numFmt w:val="decimal"/>
      <w:lvlText w:val=""/>
      <w:lvlJc w:val="left"/>
    </w:lvl>
    <w:lvl w:ilvl="3" w:tplc="465A7BE6">
      <w:numFmt w:val="decimal"/>
      <w:lvlText w:val=""/>
      <w:lvlJc w:val="left"/>
    </w:lvl>
    <w:lvl w:ilvl="4" w:tplc="B30A19CE">
      <w:numFmt w:val="decimal"/>
      <w:lvlText w:val=""/>
      <w:lvlJc w:val="left"/>
    </w:lvl>
    <w:lvl w:ilvl="5" w:tplc="5ECADC4C">
      <w:numFmt w:val="decimal"/>
      <w:lvlText w:val=""/>
      <w:lvlJc w:val="left"/>
    </w:lvl>
    <w:lvl w:ilvl="6" w:tplc="E0581EC6">
      <w:numFmt w:val="decimal"/>
      <w:lvlText w:val=""/>
      <w:lvlJc w:val="left"/>
    </w:lvl>
    <w:lvl w:ilvl="7" w:tplc="E292A938">
      <w:numFmt w:val="decimal"/>
      <w:lvlText w:val=""/>
      <w:lvlJc w:val="left"/>
    </w:lvl>
    <w:lvl w:ilvl="8" w:tplc="35927C6A">
      <w:numFmt w:val="decimal"/>
      <w:lvlText w:val=""/>
      <w:lvlJc w:val="left"/>
    </w:lvl>
  </w:abstractNum>
  <w:num w:numId="1" w16cid:durableId="2123571636">
    <w:abstractNumId w:val="1"/>
    <w:lvlOverride w:ilvl="0">
      <w:startOverride w:val="1"/>
    </w:lvlOverride>
  </w:num>
  <w:num w:numId="2" w16cid:durableId="64705522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22E8"/>
    <w:rsid w:val="000260AE"/>
    <w:rsid w:val="0006542A"/>
    <w:rsid w:val="00084F12"/>
    <w:rsid w:val="000D7987"/>
    <w:rsid w:val="001A1A4E"/>
    <w:rsid w:val="002B03D7"/>
    <w:rsid w:val="003070F3"/>
    <w:rsid w:val="00372F6A"/>
    <w:rsid w:val="003E5692"/>
    <w:rsid w:val="00770EEE"/>
    <w:rsid w:val="00886B4E"/>
    <w:rsid w:val="009B3315"/>
    <w:rsid w:val="00A3447F"/>
    <w:rsid w:val="00C536F7"/>
    <w:rsid w:val="00DA7917"/>
    <w:rsid w:val="00FE22E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1458C"/>
  <w15:docId w15:val="{262C42B2-F10D-E742-98BB-317546C18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80"/>
      <w:outlineLvl w:val="0"/>
    </w:pPr>
    <w:rPr>
      <w:b/>
      <w:bCs/>
      <w:color w:val="1F3864"/>
      <w:sz w:val="30"/>
      <w:szCs w:val="30"/>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link w:val="Heading3Char"/>
    <w:uiPriority w:val="9"/>
    <w:unhideWhenUsed/>
    <w:qFormat/>
    <w:pPr>
      <w:spacing w:before="200" w:after="100"/>
      <w:outlineLvl w:val="2"/>
    </w:pPr>
    <w:rPr>
      <w:b/>
      <w:bCs/>
      <w:color w:val="2E75B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font-claude-response-body">
    <w:name w:val="font-claude-response-body"/>
    <w:basedOn w:val="Normal"/>
    <w:rsid w:val="000260AE"/>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0260AE"/>
    <w:rPr>
      <w:b/>
      <w:bCs/>
    </w:rPr>
  </w:style>
  <w:style w:type="character" w:customStyle="1" w:styleId="apple-converted-space">
    <w:name w:val="apple-converted-space"/>
    <w:basedOn w:val="DefaultParagraphFont"/>
    <w:rsid w:val="003E5692"/>
  </w:style>
  <w:style w:type="character" w:customStyle="1" w:styleId="Heading3Char">
    <w:name w:val="Heading 3 Char"/>
    <w:basedOn w:val="DefaultParagraphFont"/>
    <w:link w:val="Heading3"/>
    <w:uiPriority w:val="9"/>
    <w:rsid w:val="003E5692"/>
    <w:rPr>
      <w:b/>
      <w:bCs/>
      <w:color w:val="2E75B6"/>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4819</Words>
  <Characters>28675</Characters>
  <Application>Microsoft Office Word</Application>
  <DocSecurity>0</DocSecurity>
  <Lines>2048</Lines>
  <Paragraphs>728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 Devereux</cp:lastModifiedBy>
  <cp:revision>4</cp:revision>
  <dcterms:created xsi:type="dcterms:W3CDTF">2026-05-07T13:17:00Z</dcterms:created>
  <dcterms:modified xsi:type="dcterms:W3CDTF">2026-05-07T13:26:00Z</dcterms:modified>
</cp:coreProperties>
</file>