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888888"/>
          <w:sz w:val="28"/>
          <w:szCs w:val="28"/>
        </w:rPr>
        <w:t xml:space="preserve">A New Operating Model for</w:t>
      </w:r>
    </w:p>
    <w:p>
      <w:pPr>
        <w:spacing w:after="80" w:before="0"/>
      </w:pPr>
      <w:r>
        <w:rPr>
          <w:rFonts w:ascii="Arial" w:cs="Arial" w:eastAsia="Arial" w:hAnsi="Arial"/>
          <w:b/>
          <w:bCs/>
          <w:sz w:val="32"/>
          <w:szCs w:val="32"/>
        </w:rPr>
        <w:t xml:space="preserve">Citizen–Government Data Exchange</w:t>
      </w:r>
    </w:p>
    <w:p>
      <w:pPr>
        <w:spacing w:after="160" w:before="0"/>
      </w:pPr>
      <w:r>
        <w:rPr>
          <w:rFonts w:ascii="Arial" w:cs="Arial" w:eastAsia="Arial" w:hAnsi="Arial"/>
          <w:b/>
          <w:bCs/>
          <w:color w:val="1F3864"/>
          <w:sz w:val="36"/>
          <w:szCs w:val="36"/>
        </w:rPr>
        <w:t xml:space="preserve">What We Can and Cannot Usefully Do Now</w:t>
      </w:r>
    </w:p>
    <w:p>
      <w:pPr>
        <w:spacing w:after="80" w:before="0"/>
      </w:pPr>
      <w:r>
        <w:rPr>
          <w:rFonts w:ascii="Arial" w:cs="Arial" w:eastAsia="Arial" w:hAnsi="Arial"/>
          <w:i/>
          <w:iCs/>
          <w:sz w:val="24"/>
          <w:szCs w:val="24"/>
        </w:rPr>
        <w:t xml:space="preserve">A note on immediate priorities, in advance of a first government customer engagement</w:t>
      </w:r>
    </w:p>
    <w:p>
      <w:pPr>
        <w:spacing w:after="480" w:before="0"/>
      </w:pPr>
      <w:r>
        <w:rPr>
          <w:rFonts w:ascii="Arial" w:cs="Arial" w:eastAsia="Arial" w:hAnsi="Arial"/>
          <w:i/>
          <w:iCs/>
          <w:sz w:val="24"/>
          <w:szCs w:val="24"/>
        </w:rPr>
        <w:t xml:space="preserve">Version 0.1  |  March 2026  |  DRAFT FOR DISCUSSION</w:t>
      </w:r>
    </w:p>
    <w:p>
      <w:pPr>
        <w:pBdr>
          <w:top w:val="single" w:color="2E75B6" w:sz="4" w:space="1"/>
          <w:bottom w:val="single" w:color="2E75B6" w:sz="4" w:space="1"/>
        </w:pBdr>
        <w:spacing w:after="240" w:before="0"/>
        <w:ind w:left="360" w:right="360"/>
      </w:pPr>
      <w:r>
        <w:rPr>
          <w:rFonts w:ascii="Arial" w:cs="Arial" w:eastAsia="Arial" w:hAnsi="Arial"/>
          <w:b/>
          <w:bCs/>
          <w:sz w:val="24"/>
          <w:szCs w:val="24"/>
        </w:rPr>
        <w:t xml:space="preserve">Pre-reading required: </w:t>
      </w:r>
      <w:r>
        <w:rPr>
          <w:rFonts w:ascii="Arial" w:cs="Arial" w:eastAsia="Arial" w:hAnsi="Arial"/>
          <w:i/>
          <w:iCs/>
          <w:sz w:val="24"/>
          <w:szCs w:val="24"/>
        </w:rPr>
        <w:t xml:space="preserve">This paper assumes familiarity with the companion Vision Paper and Functional Architecture document, both of which should be read before engaging with what follows. It also assumes access to the Django proof-of-concept codebase, which demonstrates the operating model in a working implementation. This paper does not re-summarise any of that material.</w:t>
      </w:r>
    </w:p>
    <w:p>
      <w:pPr>
        <w:spacing w:after="120" w:before="0"/>
      </w:pPr>
    </w:p>
    <w:p>
      <w:pPr>
        <w:pStyle w:val="Heading1"/>
        <w:spacing w:after="160" w:before="400"/>
      </w:pPr>
      <w:r>
        <w:rPr>
          <w:rFonts w:ascii="Arial" w:cs="Arial" w:eastAsia="Arial" w:hAnsi="Arial"/>
          <w:b/>
          <w:bCs/>
          <w:color w:val="1F3864"/>
          <w:sz w:val="32"/>
          <w:szCs w:val="32"/>
        </w:rPr>
        <w:t xml:space="preserve">Introduction</w:t>
      </w:r>
    </w:p>
    <w:p>
      <w:pPr>
        <w:spacing w:after="160" w:before="0"/>
      </w:pPr>
      <w:r>
        <w:rPr>
          <w:rFonts w:ascii="Arial" w:cs="Arial" w:eastAsia="Arial" w:hAnsi="Arial"/>
          <w:sz w:val="24"/>
          <w:szCs w:val="24"/>
        </w:rPr>
        <w:t xml:space="preserve">The Vision Paper and Functional Architecture document set out a coherent and validated operating model for citizen–government data exchange. The Django proof-of-concept demonstrates that the model works. The next step is to instantiate it on Salesforce Experience Cloud, at national scale, as a managed package deployable into any government department’s Salesforce org.</w:t>
      </w:r>
    </w:p>
    <w:p>
      <w:pPr>
        <w:spacing w:after="160" w:before="0"/>
      </w:pPr>
      <w:r>
        <w:rPr>
          <w:rFonts w:ascii="Arial" w:cs="Arial" w:eastAsia="Arial" w:hAnsi="Arial"/>
          <w:sz w:val="24"/>
          <w:szCs w:val="24"/>
        </w:rPr>
        <w:t xml:space="preserve">But that next step depends on something we do not yet have: a first government customer who has read the Vision and Functional Architecture, accepted the approach, and is ready to engage. Until that customer exists, the full build — managed package, national-scale infrastructure, regime configuration tooling — cannot and should not begin. The reasons are set out in Part A below.</w:t>
      </w:r>
    </w:p>
    <w:p>
      <w:pPr>
        <w:spacing w:after="160" w:before="0"/>
      </w:pPr>
      <w:r>
        <w:rPr>
          <w:rFonts w:ascii="Arial" w:cs="Arial" w:eastAsia="Arial" w:hAnsi="Arial"/>
          <w:sz w:val="24"/>
          <w:szCs w:val="24"/>
        </w:rPr>
        <w:t xml:space="preserve">This paper addresses what is left once the full build is set aside: what can be done now, by a small number of people over a short period, that will genuinely accelerate the programme when a customer does engage — and that will not be wasted if a customer proposes modest changes to the approach.</w:t>
      </w:r>
    </w:p>
    <w:p>
      <w:pPr>
        <w:spacing w:after="200" w:before="200"/>
        <w:ind w:left="720" w:right="720"/>
      </w:pPr>
      <w:r>
        <w:rPr>
          <w:rFonts w:ascii="Arial" w:cs="Arial" w:eastAsia="Arial" w:hAnsi="Arial"/>
          <w:b/>
          <w:bCs/>
          <w:i/>
          <w:iCs/>
          <w:sz w:val="24"/>
          <w:szCs w:val="24"/>
        </w:rPr>
        <w:t xml:space="preserve">The goal is not to build something now for its own sake. It is to ensure that when a customer says yes, we can move immediately and with confidence.</w:t>
      </w:r>
    </w:p>
    <w:p>
      <w:pPr>
        <w:pBdr>
          <w:bottom w:val="single" w:color="2E75B6" w:sz="6" w:space="1"/>
        </w:pBdr>
        <w:spacing w:after="240" w:before="240"/>
      </w:pPr>
    </w:p>
    <w:p>
      <w:pPr>
        <w:pStyle w:val="Heading1"/>
        <w:spacing w:after="160" w:before="400"/>
      </w:pPr>
      <w:r>
        <w:rPr>
          <w:rFonts w:ascii="Arial" w:cs="Arial" w:eastAsia="Arial" w:hAnsi="Arial"/>
          <w:b/>
          <w:bCs/>
          <w:color w:val="1F3864"/>
          <w:sz w:val="32"/>
          <w:szCs w:val="32"/>
        </w:rPr>
        <w:t xml:space="preserve">Part A: What We Are Not Doing Yet, and Why</w:t>
      </w:r>
    </w:p>
    <w:p>
      <w:pPr>
        <w:spacing w:after="160" w:before="0"/>
      </w:pPr>
      <w:r>
        <w:rPr>
          <w:rFonts w:ascii="Arial" w:cs="Arial" w:eastAsia="Arial" w:hAnsi="Arial"/>
          <w:sz w:val="24"/>
          <w:szCs w:val="24"/>
        </w:rPr>
        <w:t xml:space="preserve">Three categories of work are explicitly deferred, each for a distinct reason.</w:t>
      </w:r>
    </w:p>
    <w:p>
      <w:pPr>
        <w:pStyle w:val="Heading2"/>
        <w:spacing w:after="120" w:before="280"/>
      </w:pPr>
      <w:r>
        <w:rPr>
          <w:rFonts w:ascii="Arial" w:cs="Arial" w:eastAsia="Arial" w:hAnsi="Arial"/>
          <w:b/>
          <w:bCs/>
          <w:color w:val="2E75B6"/>
          <w:sz w:val="28"/>
          <w:szCs w:val="28"/>
        </w:rPr>
        <w:t xml:space="preserve">A.1 Managed package architecture</w:t>
      </w:r>
    </w:p>
    <w:p>
      <w:pPr>
        <w:spacing w:after="160" w:before="0"/>
      </w:pPr>
      <w:r>
        <w:rPr>
          <w:rFonts w:ascii="Arial" w:cs="Arial" w:eastAsia="Arial" w:hAnsi="Arial"/>
          <w:sz w:val="24"/>
          <w:szCs w:val="24"/>
        </w:rPr>
        <w:t xml:space="preserve">The intended Salesforce implementation is a managed package — a deployable unit of functionality that can be installed into any Salesforce org without bespoke configuration. This is not a minor implementation detail. It fundamentally affects how every component is designed: all objects, fields and code must carry a namespace prefix agreed before development begins; that prefix cannot be changed once the package is published; and the upgrade path — how new versions are deployed to installed orgs without breaking live data or existing configurations — must be designed from the outset.</w:t>
      </w:r>
    </w:p>
    <w:p>
      <w:pPr>
        <w:spacing w:after="160" w:before="0"/>
      </w:pPr>
      <w:r>
        <w:rPr>
          <w:rFonts w:ascii="Arial" w:cs="Arial" w:eastAsia="Arial" w:hAnsi="Arial"/>
          <w:sz w:val="24"/>
          <w:szCs w:val="24"/>
        </w:rPr>
        <w:t xml:space="preserve">Building anything on Salesforce without this architecture in place is not a shortcut to a working system — it is work that will need to be redone. A Salesforce proof-of-concept built without managed package discipline is largely throwaway, for a different reason than the Django PoC: the Django PoC proved the domain logic, which transfers. A Salesforce PoC built in a plain developer org proves nothing that the Django PoC has not already proved, and cannot be evolved into the real thing without a rebuild.</w:t>
      </w:r>
    </w:p>
    <w:p>
      <w:pPr>
        <w:spacing w:after="200" w:before="200"/>
        <w:ind w:left="720" w:right="720"/>
      </w:pPr>
      <w:r>
        <w:rPr>
          <w:rFonts w:ascii="Arial" w:cs="Arial" w:eastAsia="Arial" w:hAnsi="Arial"/>
          <w:b/>
          <w:bCs/>
          <w:i/>
          <w:iCs/>
          <w:sz w:val="24"/>
          <w:szCs w:val="24"/>
        </w:rPr>
        <w:t xml:space="preserve">A Salesforce PoC without managed package architecture is not a stepping stone. It is a detour.</w:t>
      </w:r>
    </w:p>
    <w:p>
      <w:pPr>
        <w:pStyle w:val="Heading2"/>
        <w:spacing w:after="120" w:before="280"/>
      </w:pPr>
      <w:r>
        <w:rPr>
          <w:rFonts w:ascii="Arial" w:cs="Arial" w:eastAsia="Arial" w:hAnsi="Arial"/>
          <w:b/>
          <w:bCs/>
          <w:color w:val="2E75B6"/>
          <w:sz w:val="28"/>
          <w:szCs w:val="28"/>
        </w:rPr>
        <w:t xml:space="preserve">A.2 National-scale infrastructure</w:t>
      </w:r>
    </w:p>
    <w:p>
      <w:pPr>
        <w:spacing w:after="160" w:before="0"/>
      </w:pPr>
      <w:r>
        <w:rPr>
          <w:rFonts w:ascii="Arial" w:cs="Arial" w:eastAsia="Arial" w:hAnsi="Arial"/>
          <w:sz w:val="24"/>
          <w:szCs w:val="24"/>
        </w:rPr>
        <w:t xml:space="preserve">The operating model is designed for national deployment — potentially millions of concurrent users across multiple regimes and departments. At that scale, the standard Salesforce architecture is not sufficient: routing metadata must be cached to avoid repeated database queries on every question transition; answer storage must be designed for bulk operations within Salesforce’s governor limits; session management must handle page refreshes and interruptions without data loss.</w:t>
      </w:r>
    </w:p>
    <w:p>
      <w:pPr>
        <w:spacing w:after="160" w:before="0"/>
      </w:pPr>
      <w:r>
        <w:rPr>
          <w:rFonts w:ascii="Arial" w:cs="Arial" w:eastAsia="Arial" w:hAnsi="Arial"/>
          <w:sz w:val="24"/>
          <w:szCs w:val="24"/>
        </w:rPr>
        <w:t xml:space="preserve">These are real and solvable engineering problems, but they are engineering problems — not design problems. They cannot be usefully addressed until the design is confirmed. And confirming the design requires a customer.</w:t>
      </w:r>
    </w:p>
    <w:p>
      <w:pPr>
        <w:pStyle w:val="Heading2"/>
        <w:spacing w:after="120" w:before="280"/>
      </w:pPr>
      <w:r>
        <w:rPr>
          <w:rFonts w:ascii="Arial" w:cs="Arial" w:eastAsia="Arial" w:hAnsi="Arial"/>
          <w:b/>
          <w:bCs/>
          <w:color w:val="2E75B6"/>
          <w:sz w:val="28"/>
          <w:szCs w:val="28"/>
        </w:rPr>
        <w:t xml:space="preserve">A.3 Configuration tooling</w:t>
      </w:r>
    </w:p>
    <w:p>
      <w:pPr>
        <w:spacing w:after="160" w:before="0"/>
      </w:pPr>
      <w:r>
        <w:rPr>
          <w:rFonts w:ascii="Arial" w:cs="Arial" w:eastAsia="Arial" w:hAnsi="Arial"/>
          <w:sz w:val="24"/>
          <w:szCs w:val="24"/>
        </w:rPr>
        <w:t xml:space="preserve">The tooling that allows departments to load and amend regime configuration — the questions, routing rules and section structures that define each public service — is a significant build in its own right. It is also the component most exposed to change if a first government customer proposes amendments to the data model. Even modest changes — a new field on the Section object, a different approach to routing — would require this tooling to be reworked.</w:t>
      </w:r>
    </w:p>
    <w:p>
      <w:pPr>
        <w:spacing w:after="160" w:before="0"/>
      </w:pPr>
      <w:r>
        <w:rPr>
          <w:rFonts w:ascii="Arial" w:cs="Arial" w:eastAsia="Arial" w:hAnsi="Arial"/>
          <w:sz w:val="24"/>
          <w:szCs w:val="24"/>
        </w:rPr>
        <w:t xml:space="preserve">Building it now, before a customer has confirmed the data model, carries meaningful rework risk. It waits.</w:t>
      </w:r>
    </w:p>
    <w:p>
      <w:pPr>
        <w:pBdr>
          <w:bottom w:val="single" w:color="2E75B6" w:sz="6" w:space="1"/>
        </w:pBdr>
        <w:spacing w:after="240" w:before="240"/>
      </w:pPr>
    </w:p>
    <w:p>
      <w:pPr>
        <w:pStyle w:val="Heading1"/>
        <w:spacing w:after="160" w:before="400"/>
      </w:pPr>
      <w:r>
        <w:rPr>
          <w:rFonts w:ascii="Arial" w:cs="Arial" w:eastAsia="Arial" w:hAnsi="Arial"/>
          <w:b/>
          <w:bCs/>
          <w:color w:val="1F3864"/>
          <w:sz w:val="32"/>
          <w:szCs w:val="32"/>
        </w:rPr>
        <w:t xml:space="preserve">Part B: What Is Worth Doing Now</w:t>
      </w:r>
    </w:p>
    <w:p>
      <w:pPr>
        <w:spacing w:after="160" w:before="0"/>
      </w:pPr>
      <w:r>
        <w:rPr>
          <w:rFonts w:ascii="Arial" w:cs="Arial" w:eastAsia="Arial" w:hAnsi="Arial"/>
          <w:sz w:val="24"/>
          <w:szCs w:val="24"/>
        </w:rPr>
        <w:t xml:space="preserve">Two categories of work are both justified now and genuinely valuable — in the sense that they will accelerate the programme when a customer engages, and will not be wasted if a customer proposes changes at the level we would expect.</w:t>
      </w:r>
    </w:p>
    <w:p>
      <w:pPr>
        <w:pStyle w:val="Heading2"/>
        <w:spacing w:after="120" w:before="280"/>
      </w:pPr>
      <w:r>
        <w:rPr>
          <w:rFonts w:ascii="Arial" w:cs="Arial" w:eastAsia="Arial" w:hAnsi="Arial"/>
          <w:b/>
          <w:bCs/>
          <w:color w:val="2E75B6"/>
          <w:sz w:val="28"/>
          <w:szCs w:val="28"/>
        </w:rPr>
        <w:t xml:space="preserve">B.1 Resolving the design decisions</w:t>
      </w:r>
    </w:p>
    <w:p>
      <w:pPr>
        <w:spacing w:after="160" w:before="0"/>
      </w:pPr>
      <w:r>
        <w:rPr>
          <w:rFonts w:ascii="Arial" w:cs="Arial" w:eastAsia="Arial" w:hAnsi="Arial"/>
          <w:sz w:val="24"/>
          <w:szCs w:val="24"/>
        </w:rPr>
        <w:t xml:space="preserve">The Vision and Functional Architecture describe the operating model in platform-agnostic terms. Translating that model into a Salesforce implementation requires a further layer of design decisions — choices about Salesforce-specific components, patterns and constraints that sit below the level a government customer would understand or seek to influence. These decisions need to be made before the build can begin, and making them now — before a customer is in the room — means they are ready the moment they are needed.</w:t>
      </w:r>
    </w:p>
    <w:p>
      <w:pPr>
        <w:spacing w:after="160" w:before="0"/>
      </w:pPr>
      <w:r>
        <w:rPr>
          <w:rFonts w:ascii="Arial" w:cs="Arial" w:eastAsia="Arial" w:hAnsi="Arial"/>
          <w:sz w:val="24"/>
          <w:szCs w:val="24"/>
        </w:rPr>
        <w:t xml:space="preserve">A companion document, the SI Technical Specification, sets out the intended Salesforce architecture in detail. It currently contains a set of bracketed open questions — decisions that require a Salesforce architect’s input to resolve. Resolving those questions is the first and most important action available right now.</w:t>
      </w:r>
    </w:p>
    <w:p>
      <w:pPr>
        <w:spacing w:after="160" w:before="0"/>
      </w:pPr>
      <w:r>
        <w:rPr>
          <w:rFonts w:ascii="Arial" w:cs="Arial" w:eastAsia="Arial" w:hAnsi="Arial"/>
          <w:sz w:val="24"/>
          <w:szCs w:val="24"/>
        </w:rPr>
        <w:t xml:space="preserve">The questions fall into four clusters:</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7"/>
      </w:tblGrid>
      <w:tr>
        <w:tc>
          <w:tcPr>
            <w:tcW w:type="dxa" w:w="288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Cluster</w:t>
            </w:r>
          </w:p>
        </w:tc>
        <w:tc>
          <w:tcPr>
            <w:tcW w:type="dxa" w:w="6137"/>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Questions to resolve</w:t>
            </w:r>
          </w:p>
        </w:tc>
      </w:tr>
      <w:tr>
        <w:tc>
          <w:tcPr>
            <w:tcW w:type="dxa" w:w="288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Package fundamentals</w:t>
            </w:r>
          </w:p>
        </w:tc>
        <w:tc>
          <w:tcPr>
            <w:tcW w:type="dxa" w:w="61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What namespace prefix? Push or pull upgrade model? How are schema changes to platform objects handled in host orgs?</w:t>
            </w:r>
          </w:p>
        </w:tc>
      </w:tr>
      <w:tr>
        <w:tc>
          <w:tcPr>
            <w:tcW w:type="dxa" w:w="28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Runtime and component architecture</w:t>
            </w:r>
          </w:p>
        </w:tc>
        <w:tc>
          <w:tcPr>
            <w:tcW w:type="dxa" w:w="61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LWR or Aura runtime? Standard Case object or custom Case__c? What are the managed package implications of each choice?</w:t>
            </w:r>
          </w:p>
        </w:tc>
      </w:tr>
      <w:tr>
        <w:tc>
          <w:tcPr>
            <w:tcW w:type="dxa" w:w="288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Data and permissions</w:t>
            </w:r>
          </w:p>
        </w:tc>
        <w:tc>
          <w:tcPr>
            <w:tcW w:type="dxa" w:w="61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Do Salesforce Sharing Rules provide adequate regime-level data isolation in a managed package context? Contact relationships or custom Intermediary__c for modelling intermediary access?</w:t>
            </w:r>
          </w:p>
        </w:tc>
      </w:tr>
      <w:tr>
        <w:tc>
          <w:tcPr>
            <w:tcW w:type="dxa" w:w="28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Scale and caching</w:t>
            </w:r>
          </w:p>
        </w:tc>
        <w:tc>
          <w:tcPr>
            <w:tcW w:type="dxa" w:w="61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What Platform Cache capacity is available in a typical host org? What is the safe cache invalidation strategy when regime configuration is updated mid-deployment?</w:t>
            </w:r>
          </w:p>
        </w:tc>
      </w:tr>
    </w:tbl>
    <w:p>
      <w:pPr>
        <w:spacing w:after="120" w:before="0"/>
      </w:pPr>
    </w:p>
    <w:p>
      <w:pPr>
        <w:spacing w:after="160" w:before="0"/>
      </w:pPr>
      <w:r>
        <w:rPr>
          <w:rFonts w:ascii="Arial" w:cs="Arial" w:eastAsia="Arial" w:hAnsi="Arial"/>
          <w:sz w:val="24"/>
          <w:szCs w:val="24"/>
        </w:rPr>
        <w:t xml:space="preserve">These are not questions a government customer will have views on. They are not exposed to data model changes at the level we would expect from a first customer conversation. Answering them now converts the SI Technical Specification from a draft design into a confirmed architecture — ready to hand to a build team the moment a customer engages.</w:t>
      </w:r>
    </w:p>
    <w:p>
      <w:pPr>
        <w:spacing w:after="200" w:before="200"/>
        <w:ind w:left="720" w:right="720"/>
      </w:pPr>
      <w:r>
        <w:rPr>
          <w:rFonts w:ascii="Arial" w:cs="Arial" w:eastAsia="Arial" w:hAnsi="Arial"/>
          <w:b/>
          <w:bCs/>
          <w:i/>
          <w:iCs/>
          <w:sz w:val="24"/>
          <w:szCs w:val="24"/>
        </w:rPr>
        <w:t xml:space="preserve">Resolving these questions is desk work and conversation, not development. It does not require a build environment. It requires a Salesforce architect, the SI Technical Specification, and a series of focused working sessions.</w:t>
      </w:r>
    </w:p>
    <w:p>
      <w:pPr>
        <w:spacing w:after="160" w:before="0"/>
      </w:pPr>
      <w:r>
        <w:rPr>
          <w:rFonts w:ascii="Arial" w:cs="Arial" w:eastAsia="Arial" w:hAnsi="Arial"/>
          <w:sz w:val="24"/>
          <w:szCs w:val="24"/>
        </w:rPr>
        <w:t xml:space="preserve">The SI Technical Specification is attached as an annex to this paper. The open questions are highlighted throughout. The suggested approach is to work through them cluster by cluster, in the order above, updating the specification as each decision is confirmed.</w:t>
      </w:r>
    </w:p>
    <w:p>
      <w:pPr>
        <w:pStyle w:val="Heading2"/>
        <w:spacing w:after="120" w:before="280"/>
      </w:pPr>
      <w:r>
        <w:rPr>
          <w:rFonts w:ascii="Arial" w:cs="Arial" w:eastAsia="Arial" w:hAnsi="Arial"/>
          <w:b/>
          <w:bCs/>
          <w:color w:val="2E75B6"/>
          <w:sz w:val="28"/>
          <w:szCs w:val="28"/>
        </w:rPr>
        <w:t xml:space="preserve">B.2 The routing engine: approach and residual question</w:t>
      </w:r>
    </w:p>
    <w:p>
      <w:pPr>
        <w:spacing w:after="160" w:before="0"/>
      </w:pPr>
      <w:r>
        <w:rPr>
          <w:rFonts w:ascii="Arial" w:cs="Arial" w:eastAsia="Arial" w:hAnsi="Arial"/>
          <w:sz w:val="24"/>
          <w:szCs w:val="24"/>
        </w:rPr>
        <w:t xml:space="preserve">The routing engine determines which question to present next based on the citizen’s answer. It must do so with no perceptible latency. The chosen implementation approach is client-side (Option A): the full routing table for a section is loaded into the browser component when the citizen starts that section, and next-question decisions are made in JavaScript without any server round-trip.</w:t>
      </w:r>
    </w:p>
    <w:p>
      <w:pPr>
        <w:spacing w:after="160" w:before="0"/>
      </w:pPr>
      <w:r>
        <w:rPr>
          <w:rFonts w:ascii="Arial" w:cs="Arial" w:eastAsia="Arial" w:hAnsi="Arial"/>
          <w:sz w:val="24"/>
          <w:szCs w:val="24"/>
        </w:rPr>
        <w:t xml:space="preserve">A server-side alternative (Option B) exists — calling a Salesforce Apex method on each answer submission — but is not needed here. The reason lies in how sections are structured. The operating model constrains every section to approximately fifteen questions on any single path. Routing tables can be wider than that — a question with four possible answers leading to four different follow-up questions generates four routing rows from a single question — but the total size of any routing table is naturally bounded by section size and branching depth. For realistic public service regimes, where branching is purposeful and the routing table must remain legible to civil servants (itself a binding constraint), routing tables will be sparse. Loading a few dozen to low hundreds of simple routing rows into browser component state is trivial. Option A is the right approach for this architecture.</w:t>
      </w:r>
    </w:p>
    <w:p>
      <w:pPr>
        <w:spacing w:after="160" w:before="0"/>
      </w:pPr>
      <w:r>
        <w:rPr>
          <w:rFonts w:ascii="Arial" w:cs="Arial" w:eastAsia="Arial" w:hAnsi="Arial"/>
          <w:sz w:val="24"/>
          <w:szCs w:val="24"/>
        </w:rPr>
        <w:t xml:space="preserve">The residual engineering question is more specific: path-state management. This is the logic that tracks which questions the citizen has actually answered on their path through a section, handles the case where the citizen goes back and changes an earlier answer (which may invalidate subsequent answers from an abandoned branch), and ensures the check your answers page shows only the questions on the citizen’s actual path.</w:t>
      </w:r>
    </w:p>
    <w:p>
      <w:pPr>
        <w:spacing w:after="160" w:before="0"/>
      </w:pPr>
      <w:r>
        <w:rPr>
          <w:rFonts w:ascii="Arial" w:cs="Arial" w:eastAsia="Arial" w:hAnsi="Arial"/>
          <w:sz w:val="24"/>
          <w:szCs w:val="24"/>
        </w:rPr>
        <w:t xml:space="preserve">This logic is already solved in the Django proof-of-concept, where it was developed and tested against real regime data. The Django codebase is therefore the primary reference for the LWC implementation.</w:t>
      </w:r>
    </w:p>
    <w:p>
      <w:pPr>
        <w:spacing w:after="160" w:before="100"/>
        <w:ind w:left="360"/>
      </w:pPr>
      <w:r>
        <w:rPr>
          <w:rFonts w:ascii="Arial" w:cs="Arial" w:eastAsia="Arial" w:hAnsi="Arial"/>
          <w:b/>
          <w:bCs/>
          <w:color w:val="7030A0"/>
          <w:sz w:val="24"/>
          <w:szCs w:val="24"/>
        </w:rPr>
        <w:t xml:space="preserve">[To be confirmed following Django codebase review: whether the path-state logic translates directly to LWC component state, or whether LWC’s reactivity model — which requires state to be replaced rather than mutated — introduces edge cases needing specific handling. If the Django logic ports cleanly, no prototype spike is needed. If LWC-specific complications emerge, a short time-boxed spike — one week at most — to resolve them would be justified before the main build begins.]</w:t>
      </w:r>
    </w:p>
    <w:p>
      <w:pPr>
        <w:spacing w:after="200" w:before="200"/>
        <w:ind w:left="720" w:right="720"/>
      </w:pPr>
      <w:r>
        <w:rPr>
          <w:rFonts w:ascii="Arial" w:cs="Arial" w:eastAsia="Arial" w:hAnsi="Arial"/>
          <w:b/>
          <w:bCs/>
          <w:i/>
          <w:iCs/>
          <w:sz w:val="24"/>
          <w:szCs w:val="24"/>
        </w:rPr>
        <w:t xml:space="preserve">Option A is confirmed as the routing implementation approach. The one remaining question — how cleanly the Django path-state logic ports to LWC — will be resolved by codebase review, and does not require a build to answer.</w:t>
      </w:r>
    </w:p>
    <w:p>
      <w:pPr>
        <w:pBdr>
          <w:bottom w:val="single" w:color="2E75B6" w:sz="6" w:space="1"/>
        </w:pBdr>
        <w:spacing w:after="240" w:before="240"/>
      </w:pPr>
    </w:p>
    <w:p>
      <w:pPr>
        <w:pStyle w:val="Heading1"/>
        <w:spacing w:after="160" w:before="400"/>
      </w:pPr>
      <w:r>
        <w:rPr>
          <w:rFonts w:ascii="Arial" w:cs="Arial" w:eastAsia="Arial" w:hAnsi="Arial"/>
          <w:b/>
          <w:bCs/>
          <w:color w:val="1F3864"/>
          <w:sz w:val="32"/>
          <w:szCs w:val="32"/>
        </w:rPr>
        <w:t xml:space="preserve">Indicative Effort</w:t>
      </w:r>
    </w:p>
    <w:p>
      <w:pPr>
        <w:spacing w:after="160" w:before="0"/>
      </w:pPr>
      <w:r>
        <w:rPr>
          <w:rFonts w:ascii="Arial" w:cs="Arial" w:eastAsia="Arial" w:hAnsi="Arial"/>
          <w:sz w:val="24"/>
          <w:szCs w:val="24"/>
        </w:rPr>
        <w:t xml:space="preserve">Both workstreams are suited to a single experienced Salesforce architect working part-time over a period of four to six weeks. Neither requires a development team or a formal project structure.</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8"/>
      </w:tblGrid>
      <w:tr>
        <w:tc>
          <w:tcPr>
            <w:tcW w:type="dxa" w:w="2527"/>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Workstream</w:t>
            </w:r>
          </w:p>
        </w:tc>
        <w:tc>
          <w:tcPr>
            <w:tcW w:type="dxa" w:w="649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Indicative effort</w:t>
            </w:r>
          </w:p>
        </w:tc>
      </w:tr>
      <w:tr>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B.1 — Resolving design decisions</w:t>
            </w:r>
          </w:p>
        </w:tc>
        <w:tc>
          <w:tcPr>
            <w:tcW w:type="dxa" w:w="649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Four to six working sessions with a Salesforce architect, working through the SI Technical Specification cluster by cluster. Each session produces confirmed answers to one cluster of open questions and corresponding updates to the specification. Sessions can be conducted remotely and do not require a Salesforce build environment.</w:t>
            </w:r>
          </w:p>
        </w:tc>
      </w:tr>
      <w:tr>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B.2 — Routing engine: path-state question</w:t>
            </w:r>
          </w:p>
        </w:tc>
        <w:tc>
          <w:tcPr>
            <w:tcW w:type="dxa" w:w="649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Primarily a codebase review exercise, not a build. One or two sessions reviewing the Django path-state management logic and assessing its portability to LWC. If a short spike is warranted, one week of development time at most. Output: a confirmed algorithm description for incorporation into the SI Technical Specification.</w:t>
            </w:r>
          </w:p>
        </w:tc>
      </w:tr>
    </w:tbl>
    <w:p>
      <w:pPr>
        <w:spacing w:after="120" w:before="0"/>
      </w:pPr>
    </w:p>
    <w:p>
      <w:pPr>
        <w:spacing w:after="160" w:before="0"/>
      </w:pPr>
      <w:r>
        <w:rPr>
          <w:rFonts w:ascii="Arial" w:cs="Arial" w:eastAsia="Arial" w:hAnsi="Arial"/>
          <w:sz w:val="24"/>
          <w:szCs w:val="24"/>
        </w:rPr>
        <w:t xml:space="preserve">The two workstreams can run in parallel. A six-week timeline with one architect is sufficient for both, with time to spare.</w:t>
      </w:r>
    </w:p>
    <w:p>
      <w:pPr>
        <w:spacing w:after="160" w:before="0"/>
      </w:pPr>
      <w:r>
        <w:rPr>
          <w:rFonts w:ascii="Arial" w:cs="Arial" w:eastAsia="Arial" w:hAnsi="Arial"/>
          <w:sz w:val="24"/>
          <w:szCs w:val="24"/>
        </w:rPr>
        <w:t xml:space="preserve">At the end of that period, the programme will have a confirmed Salesforce architecture and a fully resolved routing engine design. That is the right state to be in when a first government customer says yes.</w:t>
      </w:r>
    </w:p>
    <w:p>
      <w:pPr>
        <w:spacing w:after="120" w:before="0"/>
      </w:pPr>
    </w:p>
    <w:p>
      <w:pPr>
        <w:spacing w:after="160" w:before="0"/>
      </w:pPr>
      <w:r>
        <w:rPr>
          <w:rFonts w:ascii="Arial" w:cs="Arial" w:eastAsia="Arial" w:hAnsi="Arial"/>
          <w:i/>
          <w:iCs/>
          <w:sz w:val="24"/>
          <w:szCs w:val="24"/>
        </w:rPr>
        <w:t xml:space="preserve">DRAFT FOR DISCUSSION — Not for wider circulation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pPr>
    <w:r>
      <w:rPr>
        <w:rFonts w:ascii="Arial" w:cs="Arial" w:eastAsia="Arial" w:hAnsi="Arial"/>
        <w:color w:val="888888"/>
        <w:sz w:val="18"/>
        <w:szCs w:val="18"/>
      </w:rPr>
      <w:t xml:space="preserve">Version 0.1  |  March 2026  |  DRAFT FOR DISCUSSION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88888"/>
        <w:sz w:val="18"/>
        <w:szCs w:val="18"/>
      </w:rPr>
      <w:t xml:space="preserve">Citizen–Government Data Exchange  —  Immediate Action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2026-05-07T14:49:44.702Z</dcterms:created>
  <dcterms:modified xsi:type="dcterms:W3CDTF">2026-05-07T14:49:44.716Z</dcterms:modified>
</cp:coreProperties>
</file>

<file path=docProps/custom.xml><?xml version="1.0" encoding="utf-8"?>
<Properties xmlns="http://schemas.openxmlformats.org/officeDocument/2006/custom-properties" xmlns:vt="http://schemas.openxmlformats.org/officeDocument/2006/docPropsVTypes"/>
</file>