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8"/>
          <w:szCs w:val="28"/>
        </w:rPr>
        <w:t xml:space="preserve">A New Operating Model for</w:t>
      </w:r>
    </w:p>
    <w:p>
      <w:pPr>
        <w:spacing w:after="80" w:before="0"/>
      </w:pPr>
      <w:r>
        <w:rPr>
          <w:rFonts w:ascii="Arial" w:cs="Arial" w:eastAsia="Arial" w:hAnsi="Arial"/>
          <w:b/>
          <w:bCs/>
          <w:sz w:val="24"/>
          <w:szCs w:val="24"/>
        </w:rPr>
        <w:t xml:space="preserve">Citizen–Government Data Exchange</w:t>
      </w:r>
    </w:p>
    <w:p>
      <w:pPr>
        <w:spacing w:after="160" w:before="0"/>
      </w:pPr>
      <w:r>
        <w:rPr>
          <w:rFonts w:ascii="Arial" w:cs="Arial" w:eastAsia="Arial" w:hAnsi="Arial"/>
          <w:b/>
          <w:bCs/>
          <w:color w:val="1F3864"/>
          <w:sz w:val="32"/>
          <w:szCs w:val="32"/>
        </w:rPr>
        <w:t xml:space="preserve">SI Technical Specification</w:t>
      </w:r>
    </w:p>
    <w:p>
      <w:pPr>
        <w:spacing w:after="80" w:before="0"/>
      </w:pPr>
      <w:r>
        <w:rPr>
          <w:rFonts w:ascii="Arial" w:cs="Arial" w:eastAsia="Arial" w:hAnsi="Arial"/>
          <w:i/>
          <w:iCs/>
          <w:sz w:val="24"/>
          <w:szCs w:val="24"/>
        </w:rPr>
        <w:t xml:space="preserve">Salesforce Experience Cloud Implementation — Architecture, Scale and Managed Package Design</w:t>
      </w:r>
    </w:p>
    <w:p>
      <w:pPr>
        <w:spacing w:after="480" w:before="0"/>
      </w:pPr>
      <w:r>
        <w:rPr>
          <w:rFonts w:ascii="Arial" w:cs="Arial" w:eastAsia="Arial" w:hAnsi="Arial"/>
          <w:i/>
          <w:iCs/>
          <w:sz w:val="24"/>
          <w:szCs w:val="24"/>
        </w:rPr>
        <w:t xml:space="preserve">Version 0.2  |  March 2026  |  DRAFT FOR SI REVIEW</w:t>
      </w:r>
    </w:p>
    <w:p>
      <w:pPr>
        <w:pStyle w:val="Heading1"/>
        <w:spacing w:after="160" w:before="360"/>
      </w:pPr>
      <w:r>
        <w:rPr>
          <w:rFonts w:ascii="Arial" w:cs="Arial" w:eastAsia="Arial" w:hAnsi="Arial"/>
          <w:b/>
          <w:bCs/>
          <w:sz w:val="32"/>
          <w:szCs w:val="32"/>
        </w:rPr>
        <w:t xml:space="preserve">1. Purpose and Context</w:t>
      </w:r>
    </w:p>
    <w:p>
      <w:pPr>
        <w:spacing w:after="160" w:before="0"/>
      </w:pPr>
      <w:r>
        <w:rPr>
          <w:rFonts w:ascii="Arial" w:cs="Arial" w:eastAsia="Arial" w:hAnsi="Arial"/>
          <w:sz w:val="24"/>
          <w:szCs w:val="24"/>
        </w:rPr>
        <w:t xml:space="preserve">This document sets out the intended Salesforce Experience Cloud architecture for the operating model described in the companion Vision Paper and Functional Architecture document. It is addressed to the Salesforce architect or team responsible for confirming the design decisions and, in due course, overseeing the build.</w:t>
      </w:r>
    </w:p>
    <w:p>
      <w:pPr>
        <w:spacing w:after="160" w:before="0"/>
      </w:pPr>
      <w:r>
        <w:rPr>
          <w:rFonts w:ascii="Arial" w:cs="Arial" w:eastAsia="Arial" w:hAnsi="Arial"/>
          <w:i/>
          <w:iCs/>
          <w:sz w:val="24"/>
          <w:szCs w:val="24"/>
        </w:rPr>
        <w:t xml:space="preserve">Both the Vision Paper and the Functional Architecture document are required reading before engaging with this specification. This document does not re-summarise their content.</w:t>
      </w:r>
    </w:p>
    <w:p>
      <w:pPr>
        <w:spacing w:after="160" w:before="0"/>
      </w:pPr>
      <w:r>
        <w:rPr>
          <w:rFonts w:ascii="Arial" w:cs="Arial" w:eastAsia="Arial" w:hAnsi="Arial"/>
          <w:sz w:val="24"/>
          <w:szCs w:val="24"/>
        </w:rPr>
        <w:t xml:space="preserve">This document is a draft design, not a build brief. It reflects the current state of architectural thinking, including a set of open questions — highlighted in purple throughout — that require a Salesforce architect’s input to resolve. Resolving those questions is the immediate priority; the build itself waits on a first government customer confirming the operating model. The companion paper ‘What We Can and Cannot Usefully Do Now’ explains this sequencing.</w:t>
      </w:r>
    </w:p>
    <w:p>
      <w:pPr>
        <w:spacing w:after="160" w:before="0"/>
      </w:pPr>
      <w:r>
        <w:rPr>
          <w:rFonts w:ascii="Arial" w:cs="Arial" w:eastAsia="Arial" w:hAnsi="Arial"/>
          <w:sz w:val="24"/>
          <w:szCs w:val="24"/>
        </w:rPr>
        <w:t xml:space="preserve">The PoC that underpins this work is a Django/Python application, developed and validated by the commissioning organisation. It demonstrates that a data-driven forms engine — where regimes, sections, questions and routing are all configuration data rather than code — can serve a wide variety of public service transactions without bespoke development per regime. The PoC architecture is described in the Functional Architecture document and in the technical appendix to this specification.</w:t>
      </w:r>
    </w:p>
    <w:p>
      <w:pPr>
        <w:spacing w:after="160" w:before="0"/>
      </w:pPr>
      <w:r>
        <w:rPr>
          <w:rFonts w:ascii="Arial" w:cs="Arial" w:eastAsia="Arial" w:hAnsi="Arial"/>
          <w:sz w:val="24"/>
          <w:szCs w:val="24"/>
        </w:rPr>
        <w:t xml:space="preserve">Two requirements define the scope of the eventual build that go beyond a straightforward port of the PoC to Salesforce, and which materially affect the architecture:</w:t>
      </w:r>
    </w:p>
    <w:p>
      <w:pPr>
        <w:spacing w:after="160" w:before="0"/>
      </w:pPr>
      <w:r>
        <w:rPr>
          <w:rFonts w:ascii="Arial" w:cs="Arial" w:eastAsia="Arial" w:hAnsi="Arial"/>
          <w:b/>
          <w:bCs/>
          <w:sz w:val="24"/>
          <w:szCs w:val="24"/>
        </w:rPr>
        <w:t xml:space="preserve">Scale.</w:t>
      </w:r>
      <w:r>
        <w:rPr>
          <w:rFonts w:ascii="Arial" w:cs="Arial" w:eastAsia="Arial" w:hAnsi="Arial"/>
          <w:sz w:val="24"/>
          <w:szCs w:val="24"/>
        </w:rPr>
        <w:t xml:space="preserve"> The system must support national-scale deployment: potentially millions of concurrent users across multiple regimes and departments. This is not a scale the PoC was designed for, and it has direct implications for how the routing engine, answer storage and session management are architected on Salesforce.</w:t>
      </w:r>
    </w:p>
    <w:p>
      <w:pPr>
        <w:spacing w:after="160" w:before="0"/>
      </w:pPr>
      <w:r>
        <w:rPr>
          <w:rFonts w:ascii="Arial" w:cs="Arial" w:eastAsia="Arial" w:hAnsi="Arial"/>
          <w:b/>
          <w:bCs/>
          <w:sz w:val="24"/>
          <w:szCs w:val="24"/>
        </w:rPr>
        <w:t xml:space="preserve">Managed package.</w:t>
      </w:r>
      <w:r>
        <w:rPr>
          <w:rFonts w:ascii="Arial" w:cs="Arial" w:eastAsia="Arial" w:hAnsi="Arial"/>
          <w:sz w:val="24"/>
          <w:szCs w:val="24"/>
        </w:rPr>
        <w:t xml:space="preserve"> The implementation must be delivered as a Salesforce managed package, deployable into any Salesforce org without bespoke configuration. This affects namespacing, the separation of platform code from regime configuration, upgrade path design, and the governance model for onboarding new departments and regimes.</w:t>
      </w:r>
    </w:p>
    <w:p>
      <w:pPr>
        <w:spacing w:after="160" w:before="160"/>
        <w:ind w:left="720" w:right="720"/>
      </w:pPr>
      <w:r>
        <w:rPr>
          <w:rFonts w:ascii="Arial" w:cs="Arial" w:eastAsia="Arial" w:hAnsi="Arial"/>
          <w:b/>
          <w:bCs/>
          <w:i/>
          <w:iCs/>
          <w:sz w:val="24"/>
          <w:szCs w:val="24"/>
        </w:rPr>
        <w:t xml:space="preserve">The PoC proves the domain logic. The eventual build proves the platform. This document is the bridge between the two.</w:t>
      </w:r>
    </w:p>
    <w:p>
      <w:pPr>
        <w:spacing w:after="80" w:before="0"/>
      </w:pPr>
    </w:p>
    <w:p>
      <w:pPr>
        <w:pStyle w:val="Heading1"/>
        <w:spacing w:after="160" w:before="360"/>
      </w:pPr>
      <w:r>
        <w:rPr>
          <w:rFonts w:ascii="Arial" w:cs="Arial" w:eastAsia="Arial" w:hAnsi="Arial"/>
          <w:b/>
          <w:bCs/>
          <w:sz w:val="32"/>
          <w:szCs w:val="32"/>
        </w:rPr>
        <w:t xml:space="preserve">2. The Managed Package Architecture</w:t>
      </w:r>
    </w:p>
    <w:p>
      <w:pPr>
        <w:pStyle w:val="Heading2"/>
        <w:spacing w:after="120" w:before="280"/>
      </w:pPr>
      <w:r>
        <w:rPr>
          <w:rFonts w:ascii="Arial" w:cs="Arial" w:eastAsia="Arial" w:hAnsi="Arial"/>
          <w:b/>
          <w:bCs/>
          <w:sz w:val="28"/>
          <w:szCs w:val="28"/>
        </w:rPr>
        <w:t xml:space="preserve">2.1 What a managed package means in this context</w:t>
      </w:r>
    </w:p>
    <w:p>
      <w:pPr>
        <w:spacing w:after="160" w:before="0"/>
      </w:pPr>
      <w:r>
        <w:rPr>
          <w:rFonts w:ascii="Arial" w:cs="Arial" w:eastAsia="Arial" w:hAnsi="Arial"/>
          <w:sz w:val="24"/>
          <w:szCs w:val="24"/>
        </w:rPr>
        <w:t xml:space="preserve">A Salesforce managed package is a deployable unit of functionality that can be installed into any Salesforce org from the AppExchange or via direct installation URL. Once installed, the package’s code and configuration are protected: the host org cannot modify the underlying components, but can interact with the package through defined extension points.</w:t>
      </w:r>
    </w:p>
    <w:p>
      <w:pPr>
        <w:spacing w:after="160" w:before="0"/>
      </w:pPr>
      <w:r>
        <w:rPr>
          <w:rFonts w:ascii="Arial" w:cs="Arial" w:eastAsia="Arial" w:hAnsi="Arial"/>
          <w:sz w:val="24"/>
          <w:szCs w:val="24"/>
        </w:rPr>
        <w:t xml:space="preserve">For this programme, the managed package is the platform: the engine that processes regimes, routes citizens through questions, captures answers with provenance, and enforces the permission model. It contains no regime-specific content. Regimes, schedules, sections, questions and routing rules are configuration data that departments load into the package after installation — they are not part of the package itself.</w:t>
      </w:r>
    </w:p>
    <w:p>
      <w:pPr>
        <w:spacing w:after="160" w:before="0"/>
      </w:pPr>
      <w:r>
        <w:rPr>
          <w:rFonts w:ascii="Arial" w:cs="Arial" w:eastAsia="Arial" w:hAnsi="Arial"/>
          <w:sz w:val="24"/>
          <w:szCs w:val="24"/>
        </w:rPr>
        <w:t xml:space="preserve">This distinction — between the package (what the SI builds) and regime configuration (what a department deploys) — is the most important architectural boundary in the programme. Everything in the SI’s scope of work sits on the platform side of that boundary. Everything on the configuration side is a departmental responsibility, supported by tooling the SI will build but not by bespoke SI development per regime.</w:t>
      </w:r>
    </w:p>
    <w:p>
      <w:pPr>
        <w:spacing w:after="160" w:before="160"/>
        <w:ind w:left="720" w:right="720"/>
      </w:pPr>
      <w:r>
        <w:rPr>
          <w:rFonts w:ascii="Arial" w:cs="Arial" w:eastAsia="Arial" w:hAnsi="Arial"/>
          <w:b/>
          <w:bCs/>
          <w:i/>
          <w:iCs/>
          <w:sz w:val="24"/>
          <w:szCs w:val="24"/>
        </w:rPr>
        <w:t xml:space="preserve">The SI builds the engine once. Departments configure regimes within it. These are different activities with different governance, different skills, and different timelines.</w:t>
      </w:r>
    </w:p>
    <w:p>
      <w:pPr>
        <w:pStyle w:val="Heading2"/>
        <w:spacing w:after="120" w:before="280"/>
      </w:pPr>
      <w:r>
        <w:rPr>
          <w:rFonts w:ascii="Arial" w:cs="Arial" w:eastAsia="Arial" w:hAnsi="Arial"/>
          <w:b/>
          <w:bCs/>
          <w:sz w:val="28"/>
          <w:szCs w:val="28"/>
        </w:rPr>
        <w:t xml:space="preserve">2.2 Namespacing</w:t>
      </w:r>
    </w:p>
    <w:p>
      <w:pPr>
        <w:spacing w:after="160" w:before="0"/>
      </w:pPr>
      <w:r>
        <w:rPr>
          <w:rFonts w:ascii="Arial" w:cs="Arial" w:eastAsia="Arial" w:hAnsi="Arial"/>
          <w:sz w:val="24"/>
          <w:szCs w:val="24"/>
        </w:rPr>
        <w:t xml:space="preserve">All components in a managed package must carry a namespace prefix — a short string that distinguishes the package’s objects, fields and classes from those of the host org and other installed packages. For example, if the namespace is ‘pss’, the Answer custom object becomes pss__Answer__c and the routing Apex class becomes pss.RoutingService.</w:t>
      </w:r>
    </w:p>
    <w:p>
      <w:pPr>
        <w:spacing w:after="160" w:before="0"/>
      </w:pPr>
      <w:r>
        <w:rPr>
          <w:rFonts w:ascii="Arial" w:cs="Arial" w:eastAsia="Arial" w:hAnsi="Arial"/>
          <w:sz w:val="24"/>
          <w:szCs w:val="24"/>
        </w:rPr>
        <w:t xml:space="preserve">Namespacing has practical consequences that must be addressed in the solution design:</w:t>
      </w:r>
    </w:p>
    <w:p>
      <w:pPr>
        <w:spacing w:after="160" w:before="0"/>
      </w:pPr>
      <w:r>
        <w:rPr>
          <w:rFonts w:ascii="Arial" w:cs="Arial" w:eastAsia="Arial" w:hAnsi="Arial"/>
          <w:sz w:val="24"/>
          <w:szCs w:val="24"/>
        </w:rPr>
        <w:t xml:space="preserve">•  All SOQL queries, Apex references and LWC imports must use the namespaced names. This is straightforward in a greenfield build but requires discipline throughout.</w:t>
      </w:r>
    </w:p>
    <w:p>
      <w:pPr>
        <w:spacing w:after="160" w:before="0"/>
      </w:pPr>
      <w:r>
        <w:rPr>
          <w:rFonts w:ascii="Arial" w:cs="Arial" w:eastAsia="Arial" w:hAnsi="Arial"/>
          <w:sz w:val="24"/>
          <w:szCs w:val="24"/>
        </w:rPr>
        <w:t xml:space="preserve">•  Configuration data loaded by departments (regime definitions, routing rules) references namespaced metadata types. The configuration tooling must handle this transparently.</w:t>
      </w:r>
    </w:p>
    <w:p>
      <w:pPr>
        <w:spacing w:after="160" w:before="0"/>
      </w:pPr>
      <w:r>
        <w:rPr>
          <w:rFonts w:ascii="Arial" w:cs="Arial" w:eastAsia="Arial" w:hAnsi="Arial"/>
          <w:sz w:val="24"/>
          <w:szCs w:val="24"/>
        </w:rPr>
        <w:t xml:space="preserve">•  The namespace cannot be changed after the package is published. It must be agreed before development begins.</w:t>
      </w:r>
    </w:p>
    <w:p>
      <w:pPr>
        <w:spacing w:after="100" w:before="100"/>
        <w:ind w:left="360"/>
      </w:pPr>
      <w:r>
        <w:rPr>
          <w:rFonts w:ascii="Arial" w:cs="Arial" w:eastAsia="Arial" w:hAnsi="Arial"/>
          <w:b/>
          <w:bCs/>
          <w:color w:val="7030A0"/>
          <w:sz w:val="24"/>
          <w:szCs w:val="24"/>
        </w:rPr>
        <w:t xml:space="preserve">[Open question: What namespace prefix is preferred? This should be agreed with the commissioning organisation before development starts, as it cannot be changed once the package is published.]</w:t>
      </w:r>
    </w:p>
    <w:p>
      <w:pPr>
        <w:pStyle w:val="Heading2"/>
        <w:spacing w:after="120" w:before="280"/>
      </w:pPr>
      <w:r>
        <w:rPr>
          <w:rFonts w:ascii="Arial" w:cs="Arial" w:eastAsia="Arial" w:hAnsi="Arial"/>
          <w:b/>
          <w:bCs/>
          <w:sz w:val="28"/>
          <w:szCs w:val="28"/>
        </w:rPr>
        <w:t xml:space="preserve">2.3 The platform / configuration boundary</w:t>
      </w:r>
    </w:p>
    <w:p>
      <w:pPr>
        <w:spacing w:after="160" w:before="0"/>
      </w:pPr>
      <w:r>
        <w:rPr>
          <w:rFonts w:ascii="Arial" w:cs="Arial" w:eastAsia="Arial" w:hAnsi="Arial"/>
          <w:sz w:val="24"/>
          <w:szCs w:val="24"/>
        </w:rPr>
        <w:t xml:space="preserve">The boundary between platform and configuration is not just an architectural concept — it has direct implications for what the SI builds, what departments do, and how the programme is governed. The table below sets out which components sit on each side.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Platform (SI builds, managed package)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Configuration (departments load, not in package)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Layer 1 orchestration engine (regime/schedule/section navigation)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Regime records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Layer 2 section processing engine (routing, question rendering, answer capture)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Schedule and Section records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Answer storage, history and provenance service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Question records and answer options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Permission and delegation model</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Routing rules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Pre-population and consent framework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Permission grants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GDS-compliant LWC component library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Regime-specific guidance text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Configuration tooling (admin UI or CLI for loading regime data)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Scale and caching infrastructure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Managed package installer and upgrade logic</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pPr>
        <w:spacing w:after="80" w:before="0"/>
      </w:pPr>
    </w:p>
    <w:p>
      <w:pPr>
        <w:spacing w:after="160" w:before="0"/>
      </w:pPr>
      <w:r>
        <w:rPr>
          <w:rFonts w:ascii="Arial" w:cs="Arial" w:eastAsia="Arial" w:hAnsi="Arial"/>
          <w:sz w:val="24"/>
          <w:szCs w:val="24"/>
        </w:rPr>
        <w:t xml:space="preserve">The configuration tooling — the mechanism by which departments load and amend regime data — sits on the platform side because it is built once and reused. Its design is discussed in section 3.6.</w:t>
      </w:r>
    </w:p>
    <w:p>
      <w:pPr>
        <w:pStyle w:val="Heading2"/>
        <w:spacing w:after="120" w:before="280"/>
      </w:pPr>
      <w:r>
        <w:rPr>
          <w:rFonts w:ascii="Arial" w:cs="Arial" w:eastAsia="Arial" w:hAnsi="Arial"/>
          <w:b/>
          <w:bCs/>
          <w:sz w:val="28"/>
          <w:szCs w:val="28"/>
        </w:rPr>
        <w:t xml:space="preserve">2.4 Upgrade paths</w:t>
      </w:r>
    </w:p>
    <w:p>
      <w:pPr>
        <w:spacing w:after="160" w:before="0"/>
      </w:pPr>
      <w:r>
        <w:rPr>
          <w:rFonts w:ascii="Arial" w:cs="Arial" w:eastAsia="Arial" w:hAnsi="Arial"/>
          <w:sz w:val="24"/>
          <w:szCs w:val="24"/>
        </w:rPr>
        <w:t xml:space="preserve">A managed package can be upgraded: new versions can be pushed to installed orgs. But upgrades must be designed carefully to avoid breaking existing regime configurations or live citizen data. The SI should address the following in the solution design:</w:t>
      </w:r>
    </w:p>
    <w:p>
      <w:pPr>
        <w:spacing w:after="160" w:before="0"/>
      </w:pPr>
      <w:r>
        <w:rPr>
          <w:rFonts w:ascii="Arial" w:cs="Arial" w:eastAsia="Arial" w:hAnsi="Arial"/>
          <w:sz w:val="24"/>
          <w:szCs w:val="24"/>
        </w:rPr>
        <w:t xml:space="preserve">•  How schema changes to platform objects (e.g. adding a field to Answer__c) are handled without data loss in host orgs.</w:t>
      </w:r>
    </w:p>
    <w:p>
      <w:pPr>
        <w:spacing w:after="160" w:before="0"/>
      </w:pPr>
      <w:r>
        <w:rPr>
          <w:rFonts w:ascii="Arial" w:cs="Arial" w:eastAsia="Arial" w:hAnsi="Arial"/>
          <w:sz w:val="24"/>
          <w:szCs w:val="24"/>
        </w:rPr>
        <w:t xml:space="preserve">•  Whether upgrades are push (applied automatically to all installed orgs) or pull (available for host orgs to install at their discretion).</w:t>
      </w:r>
    </w:p>
    <w:p>
      <w:pPr>
        <w:spacing w:after="160" w:before="0"/>
      </w:pPr>
      <w:r>
        <w:rPr>
          <w:rFonts w:ascii="Arial" w:cs="Arial" w:eastAsia="Arial" w:hAnsi="Arial"/>
          <w:sz w:val="24"/>
          <w:szCs w:val="24"/>
        </w:rPr>
        <w:t xml:space="preserve">•  How breaking changes — changes that require regime configuration to be updated before the new version functions correctly — are communicated and managed.</w:t>
      </w:r>
    </w:p>
    <w:p>
      <w:pPr>
        <w:spacing w:after="100" w:before="100"/>
        <w:ind w:left="360"/>
      </w:pPr>
      <w:r>
        <w:rPr>
          <w:rFonts w:ascii="Arial" w:cs="Arial" w:eastAsia="Arial" w:hAnsi="Arial"/>
          <w:b/>
          <w:bCs/>
          <w:color w:val="7030A0"/>
          <w:sz w:val="24"/>
          <w:szCs w:val="24"/>
        </w:rPr>
        <w:t xml:space="preserve">[Open question: What upgrade model is appropriate — push or pull? What is the expected frequency of platform updates, and what change management process will govern them?]</w:t>
      </w:r>
    </w:p>
    <w:p>
      <w:pPr>
        <w:spacing w:after="100" w:before="100"/>
        <w:ind w:left="360"/>
      </w:pPr>
      <w:r>
        <w:rPr>
          <w:rFonts w:ascii="Arial" w:cs="Arial" w:eastAsia="Arial" w:hAnsi="Arial"/>
          <w:b/>
          <w:bCs/>
          <w:color w:val="7030A0"/>
          <w:sz w:val="24"/>
          <w:szCs w:val="24"/>
        </w:rPr>
        <w:t xml:space="preserve">[Open question: Are there data migration requirements for existing PoC regime data? If so, what is the migration path into the managed package schema?]</w:t>
      </w:r>
    </w:p>
    <w:p>
      <w:pPr>
        <w:spacing w:after="80" w:before="0"/>
      </w:pPr>
    </w:p>
    <w:p>
      <w:pPr>
        <w:pStyle w:val="Heading1"/>
        <w:spacing w:after="160" w:before="360"/>
      </w:pPr>
      <w:r>
        <w:rPr>
          <w:rFonts w:ascii="Arial" w:cs="Arial" w:eastAsia="Arial" w:hAnsi="Arial"/>
          <w:b/>
          <w:bCs/>
          <w:sz w:val="32"/>
          <w:szCs w:val="32"/>
        </w:rPr>
        <w:t xml:space="preserve">3. Object and Component Design</w:t>
      </w:r>
    </w:p>
    <w:p>
      <w:pPr>
        <w:pStyle w:val="Heading2"/>
        <w:spacing w:after="120" w:before="280"/>
      </w:pPr>
      <w:r>
        <w:rPr>
          <w:rFonts w:ascii="Arial" w:cs="Arial" w:eastAsia="Arial" w:hAnsi="Arial"/>
          <w:b/>
          <w:bCs/>
          <w:sz w:val="28"/>
          <w:szCs w:val="28"/>
        </w:rPr>
        <w:t xml:space="preserve">3.1 PoC-to-Salesforce object mapping</w:t>
      </w:r>
    </w:p>
    <w:p>
      <w:pPr>
        <w:spacing w:after="160" w:before="0"/>
      </w:pPr>
      <w:r>
        <w:rPr>
          <w:rFonts w:ascii="Arial" w:cs="Arial" w:eastAsia="Arial" w:hAnsi="Arial"/>
          <w:sz w:val="24"/>
          <w:szCs w:val="24"/>
        </w:rPr>
        <w:t xml:space="preserve">The seven objects defined in the Functional Architecture document map to Salesforce components as follows. All object and field names are shown without namespace prefix for readability; the SI should apply the agreed namespace throughout.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805"/>
        <w:gridCol w:w="1985"/>
        <w:gridCol w:w="3610"/>
      </w:tblGrid>
      <w:tr>
        <w:tc>
          <w:tcPr>
            <w:tcW w:type="dxa" w:w="162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 Object</w:t>
            </w:r>
          </w:p>
        </w:tc>
        <w:tc>
          <w:tcPr>
            <w:tcW w:type="dxa" w:w="180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Salesforce Type</w:t>
            </w:r>
          </w:p>
        </w:tc>
        <w:tc>
          <w:tcPr>
            <w:tcW w:type="dxa" w:w="198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36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Regime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Metadata Type</w:t>
            </w:r>
          </w:p>
        </w:tc>
        <w:tc>
          <w:tcPr>
            <w:tcW w:type="dxa" w:w="19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Regime__mdt</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Read-only config; deployable via Change Sets or SFDX. Suitable for managed package deployment.</w:t>
            </w:r>
          </w:p>
        </w:tc>
      </w:tr>
      <w:tr>
        <w:tc>
          <w:tcPr>
            <w:tcW w:type="dxa" w:w="16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Schedule</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Metadata Type</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Schedule__mdt</w:t>
            </w:r>
          </w:p>
        </w:tc>
        <w:tc>
          <w:tcPr>
            <w:tcW w:type="dxa" w:w="3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Linked to Regime via metadata relationship. Optional — not all regimes use Schedules.</w:t>
            </w:r>
          </w:p>
        </w:tc>
      </w:tr>
      <w:tr>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Metadata Type</w:t>
            </w:r>
          </w:p>
        </w:tc>
        <w:tc>
          <w:tcPr>
            <w:tcW w:type="dxa" w:w="19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Section__mdt</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Holds section_type (standard/table), display order, parent Regime or Schedule.</w:t>
            </w:r>
          </w:p>
        </w:tc>
      </w:tr>
      <w:tr>
        <w:tc>
          <w:tcPr>
            <w:tcW w:type="dxa" w:w="16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Question</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Metadata Type</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Question__mdt</w:t>
            </w:r>
          </w:p>
        </w:tc>
        <w:tc>
          <w:tcPr>
            <w:tcW w:type="dxa" w:w="3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question_type, options, hint, guidance, totals_flag. Defined once, reused across regimes.</w:t>
            </w:r>
          </w:p>
        </w:tc>
      </w:tr>
      <w:tr>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Routing</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Metadata Type</w:t>
            </w:r>
          </w:p>
        </w:tc>
        <w:tc>
          <w:tcPr>
            <w:tcW w:type="dxa" w:w="19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Routing__mdt</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section_id + current_question_id + answer_value + next_question_id. Full question-flow graph per Section.</w:t>
            </w:r>
          </w:p>
        </w:tc>
      </w:tr>
      <w:tr>
        <w:tc>
          <w:tcPr>
            <w:tcW w:type="dxa" w:w="16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Answer (standard)</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Object</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Answer__c</w:t>
            </w:r>
          </w:p>
        </w:tc>
        <w:tc>
          <w:tcPr>
            <w:tcW w:type="dxa" w:w="3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One record per question per case. Long Text Area for answer value (scalar or JSON for checkbox/list).</w:t>
            </w:r>
          </w:p>
        </w:tc>
      </w:tr>
      <w:tr>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Answer (table)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Object</w:t>
            </w:r>
          </w:p>
        </w:tc>
        <w:tc>
          <w:tcPr>
            <w:tcW w:type="dxa" w:w="19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TableAnswer__c</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 record per section per case. JSON blob of rows.</w:t>
            </w:r>
          </w:p>
        </w:tc>
      </w:tr>
      <w:tr>
        <w:tc>
          <w:tcPr>
            <w:tcW w:type="dxa" w:w="16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Answer history</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Object</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AnswerHistory__c</w:t>
            </w:r>
          </w:p>
        </w:tc>
        <w:tc>
          <w:tcPr>
            <w:tcW w:type="dxa" w:w="3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Delta-only archive on section confirmation. confirmed_at field mirrors PoC AnswerBasicHistory.</w:t>
            </w:r>
          </w:p>
        </w:tc>
      </w:tr>
      <w:tr>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Case</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Object</w:t>
            </w:r>
          </w:p>
        </w:tc>
        <w:tc>
          <w:tcPr>
            <w:tcW w:type="dxa" w:w="19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Case__c</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Holds regime_id, status (Draft/Submitted), user reference. Standard Case object may be considered — see note below.</w:t>
            </w:r>
          </w:p>
        </w:tc>
      </w:tr>
      <w:tr>
        <w:tc>
          <w:tcPr>
            <w:tcW w:type="dxa" w:w="162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Permission</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Object</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Permission__c</w:t>
            </w:r>
          </w:p>
        </w:tc>
        <w:tc>
          <w:tcPr>
            <w:tcW w:type="dxa" w:w="36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user_id, actor_id, section_id(s), grant_date, can_delegate, granted_by. See section 3.4.</w:t>
            </w:r>
          </w:p>
        </w:tc>
      </w:tr>
      <w:tr>
        <w:tc>
          <w:tcPr>
            <w:tcW w:type="dxa" w:w="162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 status</w:t>
            </w:r>
          </w:p>
        </w:tc>
        <w:tc>
          <w:tcPr>
            <w:tcW w:type="dxa" w:w="180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Object</w:t>
            </w:r>
          </w:p>
        </w:tc>
        <w:tc>
          <w:tcPr>
            <w:tcW w:type="dxa" w:w="198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SectionStatus__c</w:t>
            </w:r>
          </w:p>
        </w:tc>
        <w:tc>
          <w:tcPr>
            <w:tcW w:type="dxa" w:w="36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not_started / in_progress / complete per section per case. Drives Layer 1 navigation indicators.</w:t>
            </w:r>
          </w:p>
        </w:tc>
      </w:tr>
    </w:tbl>
    <w:p>
      <w:pPr>
        <w:spacing w:after="80" w:before="0"/>
      </w:pPr>
    </w:p>
    <w:p>
      <w:pPr>
        <w:spacing w:after="160" w:before="0"/>
      </w:pPr>
      <w:r>
        <w:rPr>
          <w:rFonts w:ascii="Arial" w:cs="Arial" w:eastAsia="Arial" w:hAnsi="Arial"/>
          <w:i/>
          <w:iCs/>
          <w:sz w:val="24"/>
          <w:szCs w:val="24"/>
        </w:rPr>
        <w:t xml:space="preserve">Note on Case object: the standard Salesforce Case object is a viable alternative to a custom Case__c, and would provide out-of-the-box list views, assignment rules and status management. However, in a managed package context, reliance on the standard Case object introduces risk if the host org’s Case configuration conflicts with the package’s assumptions. The SI should assess this trade-off during solution design.</w:t>
      </w:r>
    </w:p>
    <w:p>
      <w:pPr>
        <w:spacing w:after="100" w:before="100"/>
        <w:ind w:left="360"/>
      </w:pPr>
      <w:r>
        <w:rPr>
          <w:rFonts w:ascii="Arial" w:cs="Arial" w:eastAsia="Arial" w:hAnsi="Arial"/>
          <w:b/>
          <w:bCs/>
          <w:color w:val="7030A0"/>
          <w:sz w:val="24"/>
          <w:szCs w:val="24"/>
        </w:rPr>
        <w:t xml:space="preserve">[Open question: Standard Case object or custom Case__c? The SI should advise on the managed package implications of each choice.]</w:t>
      </w:r>
    </w:p>
    <w:p>
      <w:pPr>
        <w:spacing w:after="100" w:before="100"/>
        <w:ind w:left="360"/>
      </w:pPr>
      <w:r>
        <w:rPr>
          <w:rFonts w:ascii="Arial" w:cs="Arial" w:eastAsia="Arial" w:hAnsi="Arial"/>
          <w:b/>
          <w:bCs/>
          <w:color w:val="7030A0"/>
          <w:sz w:val="24"/>
          <w:szCs w:val="24"/>
        </w:rPr>
        <w:t xml:space="preserve">[Open question: Custom Metadata has a practical limit of approximately 200 records per type in a single deployment operation. For regimes with large question or routing sets, the SI should validate this limit against expected data volumes and propose batched deployment scripts if necessary.]</w:t>
      </w:r>
    </w:p>
    <w:p>
      <w:pPr>
        <w:pStyle w:val="Heading2"/>
        <w:spacing w:after="120" w:before="280"/>
      </w:pPr>
      <w:r>
        <w:rPr>
          <w:rFonts w:ascii="Arial" w:cs="Arial" w:eastAsia="Arial" w:hAnsi="Arial"/>
          <w:b/>
          <w:bCs/>
          <w:sz w:val="28"/>
          <w:szCs w:val="28"/>
        </w:rPr>
        <w:t xml:space="preserve">3.2 Routing engine</w:t>
      </w:r>
    </w:p>
    <w:p>
      <w:pPr>
        <w:spacing w:after="160" w:before="0"/>
      </w:pPr>
      <w:r>
        <w:rPr>
          <w:rFonts w:ascii="Arial" w:cs="Arial" w:eastAsia="Arial" w:hAnsi="Arial"/>
          <w:sz w:val="24"/>
          <w:szCs w:val="24"/>
        </w:rPr>
        <w:t xml:space="preserve">The routing engine evaluates the Routing metadata for a given Section — determining which question to present next based on the citizen’s answer — and must do so with no perceptible latency.</w:t>
      </w:r>
    </w:p>
    <w:p>
      <w:pPr>
        <w:spacing w:after="160" w:before="0"/>
      </w:pPr>
      <w:r>
        <w:rPr>
          <w:rFonts w:ascii="Arial" w:cs="Arial" w:eastAsia="Arial" w:hAnsi="Arial"/>
          <w:sz w:val="24"/>
          <w:szCs w:val="24"/>
        </w:rPr>
        <w:t xml:space="preserve">The implementation approach is client-side (Option A): the full routing table for a Section is loaded into LWC component state when the citizen starts that Section, and next-question decisions are made in JavaScript without any server round-trip. A server-side alternative (Option B, calling an Apex method per answer) exists but is not needed for this architecture.</w:t>
      </w:r>
    </w:p>
    <w:p>
      <w:pPr>
        <w:spacing w:after="160" w:before="0"/>
      </w:pPr>
      <w:r>
        <w:rPr>
          <w:rFonts w:ascii="Arial" w:cs="Arial" w:eastAsia="Arial" w:hAnsi="Arial"/>
          <w:sz w:val="24"/>
          <w:szCs w:val="24"/>
        </w:rPr>
        <w:t xml:space="preserve">The reason Option A is sufficient relates to the structure of sections. The operating model constrains every section to approximately fifteen questions on any single path. Routing tables can be wider than that — branching on answers generates multiple rows per question — but total routing table size is naturally bounded by section size and branching depth. For realistic public service regimes, where the routing table must remain legible to civil servants as a policy document, tables will be sparse. Loading a few dozen to low hundreds of simple routing rows into LWC component state is trivial. The policy legibility constraint and the technical limit are aligned.</w:t>
      </w:r>
    </w:p>
    <w:p>
      <w:pPr>
        <w:spacing w:after="160" w:before="0"/>
      </w:pPr>
      <w:r>
        <w:rPr>
          <w:rFonts w:ascii="Arial" w:cs="Arial" w:eastAsia="Arial" w:hAnsi="Arial"/>
          <w:sz w:val="24"/>
          <w:szCs w:val="24"/>
        </w:rPr>
        <w:t xml:space="preserve">At national scale, routing metadata should be served from Platform Cache rather than queried from the database on each section start. This is addressed in section 4.2.</w:t>
      </w:r>
    </w:p>
    <w:p>
      <w:pPr>
        <w:spacing w:after="160" w:before="0"/>
      </w:pPr>
      <w:r>
        <w:rPr>
          <w:rFonts w:ascii="Arial" w:cs="Arial" w:eastAsia="Arial" w:hAnsi="Arial"/>
          <w:sz w:val="24"/>
          <w:szCs w:val="24"/>
        </w:rPr>
        <w:t xml:space="preserve">The principal engineering consideration for the routing engine is path-state management: tracking which questions the citizen has actually answered on their path through a section, handling backtracking when the citizen changes an earlier answer (which may invalidate answers from an abandoned branch), and ensuring the check your answers page reflects only the citizen’s actual path. This logic is already solved in the Django PoC.</w:t>
      </w:r>
    </w:p>
    <w:p>
      <w:pPr>
        <w:spacing w:after="100" w:before="100"/>
        <w:ind w:left="360"/>
      </w:pPr>
      <w:r>
        <w:rPr>
          <w:rFonts w:ascii="Arial" w:cs="Arial" w:eastAsia="Arial" w:hAnsi="Arial"/>
          <w:b/>
          <w:bCs/>
          <w:color w:val="7030A0"/>
          <w:sz w:val="24"/>
          <w:szCs w:val="24"/>
        </w:rPr>
        <w:t xml:space="preserve">[To be confirmed following Django codebase review: whether the Django path-state management logic translates directly to LWC component state, or whether LWC’s reactivity model — which requires state to be replaced rather than mutated — introduces edge cases requiring specific handling. The algorithm will be documented here once confirmed.]</w:t>
      </w:r>
    </w:p>
    <w:p>
      <w:pPr>
        <w:pStyle w:val="Heading2"/>
        <w:spacing w:after="120" w:before="280"/>
      </w:pPr>
      <w:r>
        <w:rPr>
          <w:rFonts w:ascii="Arial" w:cs="Arial" w:eastAsia="Arial" w:hAnsi="Arial"/>
          <w:b/>
          <w:bCs/>
          <w:sz w:val="28"/>
          <w:szCs w:val="28"/>
        </w:rPr>
        <w:t xml:space="preserve">3.3 LWC component hierarchy</w:t>
      </w:r>
    </w:p>
    <w:p>
      <w:pPr>
        <w:spacing w:after="160" w:before="0"/>
      </w:pPr>
      <w:r>
        <w:rPr>
          <w:rFonts w:ascii="Arial" w:cs="Arial" w:eastAsia="Arial" w:hAnsi="Arial"/>
          <w:sz w:val="24"/>
          <w:szCs w:val="24"/>
        </w:rPr>
        <w:t xml:space="preserve">The citizen-facing Experience Cloud site is built using Lightning Web Components. The GDS Design System is not natively available in Salesforce; its principles (one question per page, clear hint text, accessible error handling, check your answers confirmation) must be replicated using custom CSS within LWC. The accessibility requirement (WCAG 2.1 AA) applies to every component and every state.</w:t>
      </w:r>
    </w:p>
    <w:p>
      <w:pPr>
        <w:spacing w:after="160" w:before="0"/>
      </w:pPr>
      <w:r>
        <w:rPr>
          <w:rFonts w:ascii="Arial" w:cs="Arial" w:eastAsia="Arial" w:hAnsi="Arial"/>
          <w:sz w:val="24"/>
          <w:szCs w:val="24"/>
        </w:rPr>
        <w:t xml:space="preserve">The recommended component hierarchy is: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8"/>
      </w:tblGrid>
      <w:tr>
        <w:tc>
          <w:tcPr>
            <w:tcW w:type="dxa" w:w="252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49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RegimeShell</w:t>
            </w:r>
          </w:p>
        </w:tc>
        <w:tc>
          <w:tcPr>
            <w:tcW w:type="dxa" w:w="6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Top-level container. Loads regime config and user permissions on mount. Manages overall regime state.</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ScheduleNav</w:t>
            </w:r>
          </w:p>
        </w:tc>
        <w:tc>
          <w:tcPr>
            <w:tcW w:type="dxa" w:w="649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Renders schedule/section navigation menu with status indicators (not started / in progress / complete). Applies permission filtering — only permitted sections are shown.</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SectionController</w:t>
            </w:r>
          </w:p>
        </w:tc>
        <w:tc>
          <w:tcPr>
            <w:tcW w:type="dxa" w:w="6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Dispatcher. Reads section_type from Section__mdt and renders the appropriate child component (QuestionSingle, TableSection).</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QuestionSingle</w:t>
            </w:r>
          </w:p>
        </w:tc>
        <w:tc>
          <w:tcPr>
            <w:tcW w:type="dxa" w:w="649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Renders one question per screen in GDS style. Handles routing transition on answer submission. Supports pre-populated suggestions with provenance display.</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QuestionMulti</w:t>
            </w:r>
          </w:p>
        </w:tc>
        <w:tc>
          <w:tcPr>
            <w:tcW w:type="dxa" w:w="6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Renders multiple related fields on one screen (e.g. address components). Used where GDS guidance permits grouped fields.</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TableSection</w:t>
            </w:r>
          </w:p>
        </w:tc>
        <w:tc>
          <w:tcPr>
            <w:tcW w:type="dxa" w:w="649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Manages table entry flow: landing page with record list and running totals → add record → confirm → return to landing. Supports delete and re-entry.</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ReviewSection</w:t>
            </w:r>
          </w:p>
        </w:tc>
        <w:tc>
          <w:tcPr>
            <w:tcW w:type="dxa" w:w="649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Renders the check your answers summary: all questions and answers for the current Section, in sequence, with amendment links.</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ConfirmSection</w:t>
            </w:r>
          </w:p>
        </w:tc>
        <w:tc>
          <w:tcPr>
            <w:tcW w:type="dxa" w:w="649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Commits answers to Answer__c, archives any displaced values to AnswerHistory__c, updates SectionStatus__c, returns control to Layer 1.</w:t>
            </w:r>
          </w:p>
        </w:tc>
      </w:tr>
    </w:tbl>
    <w:p>
      <w:pPr>
        <w:spacing w:after="80" w:before="0"/>
      </w:pPr>
    </w:p>
    <w:p>
      <w:pPr>
        <w:spacing w:after="100" w:before="100"/>
        <w:ind w:left="360"/>
      </w:pPr>
      <w:r>
        <w:rPr>
          <w:rFonts w:ascii="Arial" w:cs="Arial" w:eastAsia="Arial" w:hAnsi="Arial"/>
          <w:b/>
          <w:bCs/>
          <w:color w:val="7030A0"/>
          <w:sz w:val="24"/>
          <w:szCs w:val="24"/>
        </w:rPr>
        <w:t xml:space="preserve">[Open question: LWR (Lightning Web Runtime) or Aura runtime? This affects component architecture and should be confirmed before detailed component design begins. LWR is the strategic Salesforce direction but Aura may be required depending on the host org constraints.]</w:t>
      </w:r>
    </w:p>
    <w:p>
      <w:pPr>
        <w:pStyle w:val="Heading2"/>
        <w:spacing w:after="120" w:before="280"/>
      </w:pPr>
      <w:r>
        <w:rPr>
          <w:rFonts w:ascii="Arial" w:cs="Arial" w:eastAsia="Arial" w:hAnsi="Arial"/>
          <w:b/>
          <w:bCs/>
          <w:sz w:val="28"/>
          <w:szCs w:val="28"/>
        </w:rPr>
        <w:t xml:space="preserve">3.4 Answer storage and history</w:t>
      </w:r>
    </w:p>
    <w:p>
      <w:pPr>
        <w:spacing w:after="160" w:before="0"/>
      </w:pPr>
      <w:r>
        <w:rPr>
          <w:rFonts w:ascii="Arial" w:cs="Arial" w:eastAsia="Arial" w:hAnsi="Arial"/>
          <w:sz w:val="24"/>
          <w:szCs w:val="24"/>
        </w:rPr>
        <w:t xml:space="preserve">All citizen answers are stored in Answer__c (one record per question per case for standard sections) or TableAnswer__c (one record per section per case for table sections, with row data as a JSON blob). The answer value field on Answer__c is a Long Text Area, storing scalar values directly and JSON-serialised arrays for checkbox and multi-select answers.</w:t>
      </w:r>
    </w:p>
    <w:p>
      <w:pPr>
        <w:spacing w:after="160" w:before="0"/>
      </w:pPr>
      <w:r>
        <w:rPr>
          <w:rFonts w:ascii="Arial" w:cs="Arial" w:eastAsia="Arial" w:hAnsi="Arial"/>
          <w:sz w:val="24"/>
          <w:szCs w:val="24"/>
        </w:rPr>
        <w:t xml:space="preserve">Answer history is implemented as a separate AnswerHistory__c object. On section confirmation, the ConfirmSection component compares the newly submitted answers against any existing confirmed answers for the same questions in the same case. Where a value has changed, the previous answer is written to AnswerHistory__c with a confirmed_at timestamp before the new answer is committed. This mirrors the delta-tracking logic in the PoC and ensures that the full history of every answer is permanently available for audit.</w:t>
      </w:r>
    </w:p>
    <w:p>
      <w:pPr>
        <w:spacing w:after="160" w:before="0"/>
      </w:pPr>
      <w:r>
        <w:rPr>
          <w:rFonts w:ascii="Arial" w:cs="Arial" w:eastAsia="Arial" w:hAnsi="Arial"/>
          <w:sz w:val="24"/>
          <w:szCs w:val="24"/>
        </w:rPr>
        <w:t xml:space="preserve">Data isolation between regimes is enforced via Salesforce Sharing Rules on the Answer__c and Case__c objects, with regime_id as the isolation key. This replaces the per-regime database table pattern used in the PoC, which is not available on Salesforce. The SI should confirm that Sharing Rules provide adequate isolation in a managed package context, where the package’s sharing configuration must coexist with the host org’s existing sharing model.</w:t>
      </w:r>
    </w:p>
    <w:p>
      <w:pPr>
        <w:spacing w:after="100" w:before="100"/>
        <w:ind w:left="360"/>
      </w:pPr>
      <w:r>
        <w:rPr>
          <w:rFonts w:ascii="Arial" w:cs="Arial" w:eastAsia="Arial" w:hAnsi="Arial"/>
          <w:b/>
          <w:bCs/>
          <w:color w:val="7030A0"/>
          <w:sz w:val="24"/>
          <w:szCs w:val="24"/>
        </w:rPr>
        <w:t xml:space="preserve">[Open question: Do Salesforce Sharing Rules provide sufficient data isolation between regimes in a managed package context, particularly where the host org has existing sharing configuration? The SI should assess this and propose mitigations if necessary.]</w:t>
      </w:r>
    </w:p>
    <w:p>
      <w:pPr>
        <w:pStyle w:val="Heading2"/>
        <w:spacing w:after="120" w:before="280"/>
      </w:pPr>
      <w:r>
        <w:rPr>
          <w:rFonts w:ascii="Arial" w:cs="Arial" w:eastAsia="Arial" w:hAnsi="Arial"/>
          <w:b/>
          <w:bCs/>
          <w:sz w:val="28"/>
          <w:szCs w:val="28"/>
        </w:rPr>
        <w:t xml:space="preserve">3.5 Permissions and delegation</w:t>
      </w:r>
    </w:p>
    <w:p>
      <w:pPr>
        <w:spacing w:after="160" w:before="0"/>
      </w:pPr>
      <w:r>
        <w:rPr>
          <w:rFonts w:ascii="Arial" w:cs="Arial" w:eastAsia="Arial" w:hAnsi="Arial"/>
          <w:sz w:val="24"/>
          <w:szCs w:val="24"/>
        </w:rPr>
        <w:t xml:space="preserve">The permission model is more granular than anything Salesforce handles natively: it operates at Section level, supports intermediary delegation chains, and allows partial data visibility within a regime. It must be implemented as a custom service layer on top of Salesforce’s native sharing model.</w:t>
      </w:r>
    </w:p>
    <w:p>
      <w:pPr>
        <w:spacing w:after="160" w:before="0"/>
      </w:pPr>
      <w:r>
        <w:rPr>
          <w:rFonts w:ascii="Arial" w:cs="Arial" w:eastAsia="Arial" w:hAnsi="Arial"/>
          <w:sz w:val="24"/>
          <w:szCs w:val="24"/>
        </w:rPr>
        <w:t xml:space="preserve">The recommended approach is:</w:t>
      </w:r>
    </w:p>
    <w:p>
      <w:pPr>
        <w:spacing w:after="160" w:before="0"/>
      </w:pPr>
      <w:r>
        <w:rPr>
          <w:rFonts w:ascii="Arial" w:cs="Arial" w:eastAsia="Arial" w:hAnsi="Arial"/>
          <w:sz w:val="24"/>
          <w:szCs w:val="24"/>
        </w:rPr>
        <w:t xml:space="preserve">•  A custom Permission__c object stores explicit section-level grants: user_id, actor_id, section_id(s), grant_date, can_delegate, granted_by (for delegation chain). This directly mirrors the FA data model.</w:t>
      </w:r>
    </w:p>
    <w:p>
      <w:pPr>
        <w:spacing w:after="160" w:before="0"/>
      </w:pPr>
      <w:r>
        <w:rPr>
          <w:rFonts w:ascii="Arial" w:cs="Arial" w:eastAsia="Arial" w:hAnsi="Arial"/>
          <w:sz w:val="24"/>
          <w:szCs w:val="24"/>
        </w:rPr>
        <w:t xml:space="preserve">•  Salesforce Sharing Rules handle record-level access to Answer__c and Case__c objects, enforcing that an Actor can only see records for cases where they hold a permission grant.</w:t>
      </w:r>
    </w:p>
    <w:p>
      <w:pPr>
        <w:spacing w:after="160" w:before="0"/>
      </w:pPr>
      <w:r>
        <w:rPr>
          <w:rFonts w:ascii="Arial" w:cs="Arial" w:eastAsia="Arial" w:hAnsi="Arial"/>
          <w:sz w:val="24"/>
          <w:szCs w:val="24"/>
        </w:rPr>
        <w:t xml:space="preserve">•  The delegation chain — where Actor A delegates to Actor B, who may or may not be permitted to delegate further — requires a custom Apex service. There is no declarative Salesforce equivalent. The service must enforce the rules described in the FA: an actor cannot delegate sections beyond their own scope, and cannot grant delegation rights they do not themselves hold.</w:t>
      </w:r>
    </w:p>
    <w:p>
      <w:pPr>
        <w:spacing w:after="160" w:before="0"/>
      </w:pPr>
      <w:r>
        <w:rPr>
          <w:rFonts w:ascii="Arial" w:cs="Arial" w:eastAsia="Arial" w:hAnsi="Arial"/>
          <w:sz w:val="24"/>
          <w:szCs w:val="24"/>
        </w:rPr>
        <w:t xml:space="preserve">•  Intermediary relationships (citizen → solicitor, firm → employee) are modelled via Contact relationships or a custom Intermediary__c object. The SI should assess which approach integrates more cleanly with the managed package’s permission model and the host org’s likely Contact structure.</w:t>
      </w:r>
    </w:p>
    <w:p>
      <w:pPr>
        <w:spacing w:after="100" w:before="100"/>
        <w:ind w:left="360"/>
      </w:pPr>
      <w:r>
        <w:rPr>
          <w:rFonts w:ascii="Arial" w:cs="Arial" w:eastAsia="Arial" w:hAnsi="Arial"/>
          <w:b/>
          <w:bCs/>
          <w:color w:val="7030A0"/>
          <w:sz w:val="24"/>
          <w:szCs w:val="24"/>
        </w:rPr>
        <w:t xml:space="preserve">[Open question: Contact relationships or custom Intermediary__c for modelling intermediary relationships? The SI should advise on the managed package implications and the likely host org Contact structure.]</w:t>
      </w:r>
    </w:p>
    <w:p>
      <w:pPr>
        <w:spacing w:after="100" w:before="100"/>
        <w:ind w:left="360"/>
      </w:pPr>
      <w:r>
        <w:rPr>
          <w:rFonts w:ascii="Arial" w:cs="Arial" w:eastAsia="Arial" w:hAnsi="Arial"/>
          <w:b/>
          <w:bCs/>
          <w:color w:val="7030A0"/>
          <w:sz w:val="24"/>
          <w:szCs w:val="24"/>
        </w:rPr>
        <w:t xml:space="preserve">[Open question: Should OmniStudio DataRaptor and Integration Procedures be evaluated as a lower-cost alternative to custom Apex for permission resolution? The SI should assess this during solution design.]</w:t>
      </w:r>
    </w:p>
    <w:p>
      <w:pPr>
        <w:pStyle w:val="Heading2"/>
        <w:spacing w:after="120" w:before="280"/>
      </w:pPr>
      <w:r>
        <w:rPr>
          <w:rFonts w:ascii="Arial" w:cs="Arial" w:eastAsia="Arial" w:hAnsi="Arial"/>
          <w:b/>
          <w:bCs/>
          <w:sz w:val="28"/>
          <w:szCs w:val="28"/>
        </w:rPr>
        <w:t xml:space="preserve">3.6 Configuration tooling</w:t>
      </w:r>
    </w:p>
    <w:p>
      <w:pPr>
        <w:spacing w:after="160" w:before="0"/>
      </w:pPr>
      <w:r>
        <w:rPr>
          <w:rFonts w:ascii="Arial" w:cs="Arial" w:eastAsia="Arial" w:hAnsi="Arial"/>
          <w:sz w:val="24"/>
          <w:szCs w:val="24"/>
        </w:rPr>
        <w:t xml:space="preserve">Regime configuration — the data that defines a regime’s sections, questions and routing — is Custom Metadata, deployable via Change Sets or Salesforce DX. For departments onboarding new regimes, the SI should provide one or both of the following:</w:t>
      </w:r>
    </w:p>
    <w:p>
      <w:pPr>
        <w:spacing w:after="160" w:before="0"/>
      </w:pPr>
      <w:r>
        <w:rPr>
          <w:rFonts w:ascii="Arial" w:cs="Arial" w:eastAsia="Arial" w:hAnsi="Arial"/>
          <w:sz w:val="24"/>
          <w:szCs w:val="24"/>
        </w:rPr>
        <w:t xml:space="preserve">•  </w:t>
      </w:r>
      <w:r>
        <w:rPr>
          <w:rFonts w:ascii="Arial" w:cs="Arial" w:eastAsia="Arial" w:hAnsi="Arial"/>
          <w:b/>
          <w:bCs/>
          <w:sz w:val="24"/>
          <w:szCs w:val="24"/>
        </w:rPr>
        <w:t xml:space="preserve">An admin LWC</w:t>
      </w:r>
      <w:r>
        <w:rPr>
          <w:rFonts w:ascii="Arial" w:cs="Arial" w:eastAsia="Arial" w:hAnsi="Arial"/>
          <w:sz w:val="24"/>
          <w:szCs w:val="24"/>
        </w:rPr>
        <w:t xml:space="preserve"> within the managed package that allows authorised users to create and amend regime configuration records through a browser-based UI, without requiring Salesforce developer access. This is the primary tool for policy teams making incremental changes to existing regimes.</w:t>
      </w:r>
    </w:p>
    <w:p>
      <w:pPr>
        <w:spacing w:after="160" w:before="0"/>
      </w:pPr>
      <w:r>
        <w:rPr>
          <w:rFonts w:ascii="Arial" w:cs="Arial" w:eastAsia="Arial" w:hAnsi="Arial"/>
          <w:sz w:val="24"/>
          <w:szCs w:val="24"/>
        </w:rPr>
        <w:t xml:space="preserve">•  </w:t>
      </w:r>
      <w:r>
        <w:rPr>
          <w:rFonts w:ascii="Arial" w:cs="Arial" w:eastAsia="Arial" w:hAnsi="Arial"/>
          <w:b/>
          <w:bCs/>
          <w:sz w:val="24"/>
          <w:szCs w:val="24"/>
        </w:rPr>
        <w:t xml:space="preserve">A CLI script or Salesforce DX plugin</w:t>
      </w:r>
      <w:r>
        <w:rPr>
          <w:rFonts w:ascii="Arial" w:cs="Arial" w:eastAsia="Arial" w:hAnsi="Arial"/>
          <w:sz w:val="24"/>
          <w:szCs w:val="24"/>
        </w:rPr>
        <w:t xml:space="preserve"> that upserts Custom Metadata records from CSV or JSON input files via the Tooling API. This is the primary tool for bulk regime onboarding — migrating an existing regime definition into the platform in one operation.</w:t>
      </w:r>
    </w:p>
    <w:p>
      <w:pPr>
        <w:spacing w:after="160" w:before="0"/>
      </w:pPr>
      <w:r>
        <w:rPr>
          <w:rFonts w:ascii="Arial" w:cs="Arial" w:eastAsia="Arial" w:hAnsi="Arial"/>
          <w:sz w:val="24"/>
          <w:szCs w:val="24"/>
        </w:rPr>
        <w:t xml:space="preserve">The PoC already has CSV upload tooling for all configuration objects. This should be ported and adapted as the basis for the CLI tooling, reducing build effort.</w:t>
      </w:r>
    </w:p>
    <w:p>
      <w:pPr>
        <w:spacing w:after="100" w:before="100"/>
        <w:ind w:left="360"/>
      </w:pPr>
      <w:r>
        <w:rPr>
          <w:rFonts w:ascii="Arial" w:cs="Arial" w:eastAsia="Arial" w:hAnsi="Arial"/>
          <w:b/>
          <w:bCs/>
          <w:color w:val="7030A0"/>
          <w:sz w:val="24"/>
          <w:szCs w:val="24"/>
        </w:rPr>
        <w:t xml:space="preserve">[Open question: What level of configuration UI is required for policy teams — full admin LWC, CLI only, or both? This affects build scope and should be agreed with the commissioning organisation.]</w:t>
      </w:r>
    </w:p>
    <w:p>
      <w:pPr>
        <w:spacing w:after="80" w:before="0"/>
      </w:pPr>
    </w:p>
    <w:p>
      <w:pPr>
        <w:pStyle w:val="Heading1"/>
        <w:spacing w:after="160" w:before="360"/>
      </w:pPr>
      <w:r>
        <w:rPr>
          <w:rFonts w:ascii="Arial" w:cs="Arial" w:eastAsia="Arial" w:hAnsi="Arial"/>
          <w:b/>
          <w:bCs/>
          <w:sz w:val="32"/>
          <w:szCs w:val="32"/>
        </w:rPr>
        <w:t xml:space="preserve">4. Scale and Non-Functional Requirements</w:t>
      </w:r>
    </w:p>
    <w:p>
      <w:pPr>
        <w:pStyle w:val="Heading2"/>
        <w:spacing w:after="120" w:before="280"/>
      </w:pPr>
      <w:r>
        <w:rPr>
          <w:rFonts w:ascii="Arial" w:cs="Arial" w:eastAsia="Arial" w:hAnsi="Arial"/>
          <w:b/>
          <w:bCs/>
          <w:sz w:val="28"/>
          <w:szCs w:val="28"/>
        </w:rPr>
        <w:t xml:space="preserve">4.1 The scale challenge</w:t>
      </w:r>
    </w:p>
    <w:p>
      <w:pPr>
        <w:spacing w:after="160" w:before="0"/>
      </w:pPr>
      <w:r>
        <w:rPr>
          <w:rFonts w:ascii="Arial" w:cs="Arial" w:eastAsia="Arial" w:hAnsi="Arial"/>
          <w:sz w:val="24"/>
          <w:szCs w:val="24"/>
        </w:rPr>
        <w:t xml:space="preserve">The PoC was built and validated in a controlled environment with a small number of regimes and users. National deployment is a different proposition: potentially millions of citizens interacting concurrently across dozens of regimes and multiple departments. The Salesforce architecture must be designed for this scale from the outset — retrofitting scale to a system designed for a smaller environment is significantly more expensive than building for it initially.</w:t>
      </w:r>
    </w:p>
    <w:p>
      <w:pPr>
        <w:spacing w:after="160" w:before="0"/>
      </w:pPr>
      <w:r>
        <w:rPr>
          <w:rFonts w:ascii="Arial" w:cs="Arial" w:eastAsia="Arial" w:hAnsi="Arial"/>
          <w:sz w:val="24"/>
          <w:szCs w:val="24"/>
        </w:rPr>
        <w:t xml:space="preserve">The non-functional requirements set out in the Functional Architecture document — scale, data isolation, audit, accessibility, performance, deployability — translate into specific Salesforce architectural choices. The most significant of these are addressed below. Where the right approach depends on the SI’s assessment of the specific Salesforce environment, open questions are flagged.</w:t>
      </w:r>
    </w:p>
    <w:p>
      <w:pPr>
        <w:spacing w:after="100" w:before="100"/>
        <w:ind w:left="360"/>
      </w:pPr>
      <w:r>
        <w:rPr>
          <w:rFonts w:ascii="Arial" w:cs="Arial" w:eastAsia="Arial" w:hAnsi="Arial"/>
          <w:b/>
          <w:bCs/>
          <w:color w:val="7030A0"/>
          <w:sz w:val="24"/>
          <w:szCs w:val="24"/>
        </w:rPr>
        <w:t xml:space="preserve">[Open question: What are the specific performance targets — maximum question-transition latency, concurrent user capacity, regime throughput? These must be defined and agreed before the architecture can be finalised, as they drive the caching and infrastructure choices in sections 4.2 and 4.3.]</w:t>
      </w:r>
    </w:p>
    <w:p>
      <w:pPr>
        <w:pStyle w:val="Heading2"/>
        <w:spacing w:after="120" w:before="280"/>
      </w:pPr>
      <w:r>
        <w:rPr>
          <w:rFonts w:ascii="Arial" w:cs="Arial" w:eastAsia="Arial" w:hAnsi="Arial"/>
          <w:b/>
          <w:bCs/>
          <w:sz w:val="28"/>
          <w:szCs w:val="28"/>
        </w:rPr>
        <w:t xml:space="preserve">4.2 Platform Cache</w:t>
      </w:r>
    </w:p>
    <w:p>
      <w:pPr>
        <w:spacing w:after="160" w:before="0"/>
      </w:pPr>
      <w:r>
        <w:rPr>
          <w:rFonts w:ascii="Arial" w:cs="Arial" w:eastAsia="Arial" w:hAnsi="Arial"/>
          <w:sz w:val="24"/>
          <w:szCs w:val="24"/>
        </w:rPr>
        <w:t xml:space="preserve">Platform Cache is Salesforce’s server-side caching layer, available in two flavours: Org Cache (shared across all users in the org) and Session Cache (per-user, per-session). For this platform, it is the primary mechanism for avoiding repeated SOQL queries against Custom Metadata at runtime.</w:t>
      </w:r>
    </w:p>
    <w:p>
      <w:pPr>
        <w:spacing w:after="160" w:before="0"/>
      </w:pPr>
      <w:r>
        <w:rPr>
          <w:rFonts w:ascii="Arial" w:cs="Arial" w:eastAsia="Arial" w:hAnsi="Arial"/>
          <w:sz w:val="24"/>
          <w:szCs w:val="24"/>
        </w:rPr>
        <w:t xml:space="preserve">The routing metadata for a Section — potentially hundreds of Routing__mdt records — is immutable during a citizen’s session: it does not change while the citizen is working through the Section. It is therefore an ideal candidate for Org Cache: loaded once per Section per org, served from cache on every subsequent request, invalidated only when the underlying metadata changes.</w:t>
      </w:r>
    </w:p>
    <w:p>
      <w:pPr>
        <w:spacing w:after="160" w:before="0"/>
      </w:pPr>
      <w:r>
        <w:rPr>
          <w:rFonts w:ascii="Arial" w:cs="Arial" w:eastAsia="Arial" w:hAnsi="Arial"/>
          <w:sz w:val="24"/>
          <w:szCs w:val="24"/>
        </w:rPr>
        <w:t xml:space="preserve">Similarly, Question metadata (question text, type, options, hint) changes only when a policy team amends the configuration. Caching Question records in Org Cache reduces the SOQL load from citizen-facing interactions to near zero for the steady state.</w:t>
      </w:r>
    </w:p>
    <w:p>
      <w:pPr>
        <w:spacing w:after="160" w:before="0"/>
      </w:pPr>
      <w:r>
        <w:rPr>
          <w:rFonts w:ascii="Arial" w:cs="Arial" w:eastAsia="Arial" w:hAnsi="Arial"/>
          <w:sz w:val="24"/>
          <w:szCs w:val="24"/>
        </w:rPr>
        <w:t xml:space="preserve">The SI should design a caching strategy that covers at minimum:</w:t>
      </w:r>
    </w:p>
    <w:p>
      <w:pPr>
        <w:spacing w:after="160" w:before="0"/>
      </w:pPr>
      <w:r>
        <w:rPr>
          <w:rFonts w:ascii="Arial" w:cs="Arial" w:eastAsia="Arial" w:hAnsi="Arial"/>
          <w:sz w:val="24"/>
          <w:szCs w:val="24"/>
        </w:rPr>
        <w:t xml:space="preserve">•  Routing metadata, keyed by Section identifier, held in Org Cache with invalidation on metadata deployment.</w:t>
      </w:r>
    </w:p>
    <w:p>
      <w:pPr>
        <w:spacing w:after="160" w:before="0"/>
      </w:pPr>
      <w:r>
        <w:rPr>
          <w:rFonts w:ascii="Arial" w:cs="Arial" w:eastAsia="Arial" w:hAnsi="Arial"/>
          <w:sz w:val="24"/>
          <w:szCs w:val="24"/>
        </w:rPr>
        <w:t xml:space="preserve">•  Question metadata, keyed by Question identifier, held in Org Cache with the same invalidation trigger.</w:t>
      </w:r>
    </w:p>
    <w:p>
      <w:pPr>
        <w:spacing w:after="160" w:before="0"/>
      </w:pPr>
      <w:r>
        <w:rPr>
          <w:rFonts w:ascii="Arial" w:cs="Arial" w:eastAsia="Arial" w:hAnsi="Arial"/>
          <w:sz w:val="24"/>
          <w:szCs w:val="24"/>
        </w:rPr>
        <w:t xml:space="preserve">•  Session-level routing state — the citizen’s current position within a Section, their answers so far in the current session before confirmation — held in Session Cache to avoid repeated database reads during a single interaction.</w:t>
      </w:r>
    </w:p>
    <w:p>
      <w:pPr>
        <w:spacing w:after="100" w:before="100"/>
        <w:ind w:left="360"/>
      </w:pPr>
      <w:r>
        <w:rPr>
          <w:rFonts w:ascii="Arial" w:cs="Arial" w:eastAsia="Arial" w:hAnsi="Arial"/>
          <w:b/>
          <w:bCs/>
          <w:color w:val="7030A0"/>
          <w:sz w:val="24"/>
          <w:szCs w:val="24"/>
        </w:rPr>
        <w:t xml:space="preserve">[Open question: What Platform Cache capacity is available in the target org configuration, and is it sufficient for the expected concurrent user load? Platform Cache allocation is org-specific and must be confirmed for each host org deployment.]</w:t>
      </w:r>
    </w:p>
    <w:p>
      <w:pPr>
        <w:spacing w:after="100" w:before="100"/>
        <w:ind w:left="360"/>
      </w:pPr>
      <w:r>
        <w:rPr>
          <w:rFonts w:ascii="Arial" w:cs="Arial" w:eastAsia="Arial" w:hAnsi="Arial"/>
          <w:b/>
          <w:bCs/>
          <w:color w:val="7030A0"/>
          <w:sz w:val="24"/>
          <w:szCs w:val="24"/>
        </w:rPr>
        <w:t xml:space="preserve">[Open question: What is the cache invalidation strategy when regime configuration is updated mid-deployment — for example, when a routing rule is amended while citizens are actively completing that Section? The SI should design a safe invalidation mechanism that does not disrupt in-flight sessions.]</w:t>
      </w:r>
    </w:p>
    <w:p>
      <w:pPr>
        <w:pStyle w:val="Heading2"/>
        <w:spacing w:after="120" w:before="280"/>
      </w:pPr>
      <w:r>
        <w:rPr>
          <w:rFonts w:ascii="Arial" w:cs="Arial" w:eastAsia="Arial" w:hAnsi="Arial"/>
          <w:b/>
          <w:bCs/>
          <w:sz w:val="28"/>
          <w:szCs w:val="28"/>
        </w:rPr>
        <w:t xml:space="preserve">4.3 Governor limits and bulkification</w:t>
      </w:r>
    </w:p>
    <w:p>
      <w:pPr>
        <w:spacing w:after="160" w:before="0"/>
      </w:pPr>
      <w:r>
        <w:rPr>
          <w:rFonts w:ascii="Arial" w:cs="Arial" w:eastAsia="Arial" w:hAnsi="Arial"/>
          <w:sz w:val="24"/>
          <w:szCs w:val="24"/>
        </w:rPr>
        <w:t xml:space="preserve">Salesforce governor limits — caps on SOQL queries, DML statements, CPU time and heap size per transaction — are a fundamental constraint of the platform. At national scale, with many concurrent citizen interactions, any architecture that approaches these limits per transaction will fail under load. The SI must design for bulkification throughout.</w:t>
      </w:r>
    </w:p>
    <w:p>
      <w:pPr>
        <w:spacing w:after="160" w:before="0"/>
      </w:pPr>
      <w:r>
        <w:rPr>
          <w:rFonts w:ascii="Arial" w:cs="Arial" w:eastAsia="Arial" w:hAnsi="Arial"/>
          <w:sz w:val="24"/>
          <w:szCs w:val="24"/>
        </w:rPr>
        <w:t xml:space="preserve">The most significant governor limit risks in this architecture are:</w:t>
      </w:r>
    </w:p>
    <w:p>
      <w:pPr>
        <w:spacing w:after="160" w:before="0"/>
      </w:pPr>
      <w:r>
        <w:rPr>
          <w:rFonts w:ascii="Arial" w:cs="Arial" w:eastAsia="Arial" w:hAnsi="Arial"/>
          <w:sz w:val="24"/>
          <w:szCs w:val="24"/>
        </w:rPr>
        <w:t xml:space="preserve">•  </w:t>
      </w:r>
      <w:r>
        <w:rPr>
          <w:rFonts w:ascii="Arial" w:cs="Arial" w:eastAsia="Arial" w:hAnsi="Arial"/>
          <w:b/>
          <w:bCs/>
          <w:sz w:val="24"/>
          <w:szCs w:val="24"/>
        </w:rPr>
        <w:t xml:space="preserve">SOQL queries per transaction.</w:t>
      </w:r>
      <w:r>
        <w:rPr>
          <w:rFonts w:ascii="Arial" w:cs="Arial" w:eastAsia="Arial" w:hAnsi="Arial"/>
          <w:sz w:val="24"/>
          <w:szCs w:val="24"/>
        </w:rPr>
        <w:t xml:space="preserve"> Section confirmation commits multiple Answer__c records, reads SectionStatus__c, writes AnswerHistory__c and updates SectionStatus__c — all in a single transaction. Without careful bulkification, this can exceed the 100 SOQL queries per transaction limit for complex sections.</w:t>
      </w:r>
    </w:p>
    <w:p>
      <w:pPr>
        <w:spacing w:after="160" w:before="0"/>
      </w:pPr>
      <w:r>
        <w:rPr>
          <w:rFonts w:ascii="Arial" w:cs="Arial" w:eastAsia="Arial" w:hAnsi="Arial"/>
          <w:sz w:val="24"/>
          <w:szCs w:val="24"/>
        </w:rPr>
        <w:t xml:space="preserve">•  </w:t>
      </w:r>
      <w:r>
        <w:rPr>
          <w:rFonts w:ascii="Arial" w:cs="Arial" w:eastAsia="Arial" w:hAnsi="Arial"/>
          <w:b/>
          <w:bCs/>
          <w:sz w:val="24"/>
          <w:szCs w:val="24"/>
        </w:rPr>
        <w:t xml:space="preserve">DML statements per transaction.</w:t>
      </w:r>
      <w:r>
        <w:rPr>
          <w:rFonts w:ascii="Arial" w:cs="Arial" w:eastAsia="Arial" w:hAnsi="Arial"/>
          <w:sz w:val="24"/>
          <w:szCs w:val="24"/>
        </w:rPr>
        <w:t xml:space="preserve"> Writing a full set of answers on section confirmation, archiving displaced history records, and updating section status involves multiple DML operations. These must be batched.</w:t>
      </w:r>
    </w:p>
    <w:p>
      <w:pPr>
        <w:spacing w:after="160" w:before="0"/>
      </w:pPr>
      <w:r>
        <w:rPr>
          <w:rFonts w:ascii="Arial" w:cs="Arial" w:eastAsia="Arial" w:hAnsi="Arial"/>
          <w:sz w:val="24"/>
          <w:szCs w:val="24"/>
        </w:rPr>
        <w:t xml:space="preserve">•  </w:t>
      </w:r>
      <w:r>
        <w:rPr>
          <w:rFonts w:ascii="Arial" w:cs="Arial" w:eastAsia="Arial" w:hAnsi="Arial"/>
          <w:b/>
          <w:bCs/>
          <w:sz w:val="24"/>
          <w:szCs w:val="24"/>
        </w:rPr>
        <w:t xml:space="preserve">Heap size.</w:t>
      </w:r>
      <w:r>
        <w:rPr>
          <w:rFonts w:ascii="Arial" w:cs="Arial" w:eastAsia="Arial" w:hAnsi="Arial"/>
          <w:sz w:val="24"/>
          <w:szCs w:val="24"/>
        </w:rPr>
        <w:t xml:space="preserve"> Loading a large routing table into LWC component state (Option A routing) or into an Apex method (Option B) consumes heap. For the largest regimes, this must be profiled against the 6MB heap limit.</w:t>
      </w:r>
    </w:p>
    <w:p>
      <w:pPr>
        <w:spacing w:after="160" w:before="0"/>
      </w:pPr>
      <w:r>
        <w:rPr>
          <w:rFonts w:ascii="Arial" w:cs="Arial" w:eastAsia="Arial" w:hAnsi="Arial"/>
          <w:sz w:val="24"/>
          <w:szCs w:val="24"/>
        </w:rPr>
        <w:t xml:space="preserve">The SI should include a governor limit analysis as part of the solution design, covering the worst-case transaction profile for the most complex regime on the platform.</w:t>
      </w:r>
    </w:p>
    <w:p>
      <w:pPr>
        <w:spacing w:after="100" w:before="100"/>
        <w:ind w:left="360"/>
      </w:pPr>
      <w:r>
        <w:rPr>
          <w:rFonts w:ascii="Arial" w:cs="Arial" w:eastAsia="Arial" w:hAnsi="Arial"/>
          <w:b/>
          <w:bCs/>
          <w:color w:val="7030A0"/>
          <w:sz w:val="24"/>
          <w:szCs w:val="24"/>
        </w:rPr>
        <w:t xml:space="preserve">[Open question: What is the largest regime in terms of question count, routing table size and concurrent users? This drives the worst-case governor limit analysis and should be identified before solution design is finalised.]</w:t>
      </w:r>
    </w:p>
    <w:p>
      <w:pPr>
        <w:pStyle w:val="Heading2"/>
        <w:spacing w:after="120" w:before="280"/>
      </w:pPr>
      <w:r>
        <w:rPr>
          <w:rFonts w:ascii="Arial" w:cs="Arial" w:eastAsia="Arial" w:hAnsi="Arial"/>
          <w:b/>
          <w:bCs/>
          <w:sz w:val="28"/>
          <w:szCs w:val="28"/>
        </w:rPr>
        <w:t xml:space="preserve">4.4 Session management</w:t>
      </w:r>
    </w:p>
    <w:p>
      <w:pPr>
        <w:spacing w:after="160" w:before="0"/>
      </w:pPr>
      <w:r>
        <w:rPr>
          <w:rFonts w:ascii="Arial" w:cs="Arial" w:eastAsia="Arial" w:hAnsi="Arial"/>
          <w:sz w:val="24"/>
          <w:szCs w:val="24"/>
        </w:rPr>
        <w:t xml:space="preserve">The PoC uses Django server-side sessions (session_dict) to hold the citizen’s current position within a Section between page loads. On Salesforce Experience Cloud, there is no direct equivalent: LWC component state is held client-side and does not persist across page refreshes.</w:t>
      </w:r>
    </w:p>
    <w:p>
      <w:pPr>
        <w:spacing w:after="160" w:before="0"/>
      </w:pPr>
      <w:r>
        <w:rPr>
          <w:rFonts w:ascii="Arial" w:cs="Arial" w:eastAsia="Arial" w:hAnsi="Arial"/>
          <w:sz w:val="24"/>
          <w:szCs w:val="24"/>
        </w:rPr>
        <w:t xml:space="preserve">The SI must design a session management approach that handles the following scenarios correctly:</w:t>
      </w:r>
    </w:p>
    <w:p>
      <w:pPr>
        <w:spacing w:after="160" w:before="0"/>
      </w:pPr>
      <w:r>
        <w:rPr>
          <w:rFonts w:ascii="Arial" w:cs="Arial" w:eastAsia="Arial" w:hAnsi="Arial"/>
          <w:sz w:val="24"/>
          <w:szCs w:val="24"/>
        </w:rPr>
        <w:t xml:space="preserve">•  A citizen who partially completes a Section and returns later (same session or different session) should be resumed at the point they left off, not restarted.</w:t>
      </w:r>
    </w:p>
    <w:p>
      <w:pPr>
        <w:spacing w:after="160" w:before="0"/>
      </w:pPr>
      <w:r>
        <w:rPr>
          <w:rFonts w:ascii="Arial" w:cs="Arial" w:eastAsia="Arial" w:hAnsi="Arial"/>
          <w:sz w:val="24"/>
          <w:szCs w:val="24"/>
        </w:rPr>
        <w:t xml:space="preserve">•  A citizen who refreshes the page mid-Section should not lose answers already provided in the current session.</w:t>
      </w:r>
    </w:p>
    <w:p>
      <w:pPr>
        <w:spacing w:after="160" w:before="0"/>
      </w:pPr>
      <w:r>
        <w:rPr>
          <w:rFonts w:ascii="Arial" w:cs="Arial" w:eastAsia="Arial" w:hAnsi="Arial"/>
          <w:sz w:val="24"/>
          <w:szCs w:val="24"/>
        </w:rPr>
        <w:t xml:space="preserve">•  An intermediary who is completing a Section on a citizen’s behalf and is interrupted should be able to resume without data loss.</w:t>
      </w:r>
    </w:p>
    <w:p>
      <w:pPr>
        <w:spacing w:after="160" w:before="0"/>
      </w:pPr>
      <w:r>
        <w:rPr>
          <w:rFonts w:ascii="Arial" w:cs="Arial" w:eastAsia="Arial" w:hAnsi="Arial"/>
          <w:sz w:val="24"/>
          <w:szCs w:val="24"/>
        </w:rPr>
        <w:t xml:space="preserve">One approach is to persist in-progress (unconfirmed) answers to a draft Answer__c record on each question submission, treating the confirmation step as a commit rather than the first point of persistence. This trades increased DML frequency for resilience. The SI should evaluate this and alternative approaches.</w:t>
      </w:r>
    </w:p>
    <w:p>
      <w:pPr>
        <w:spacing w:after="100" w:before="100"/>
        <w:ind w:left="360"/>
      </w:pPr>
      <w:r>
        <w:rPr>
          <w:rFonts w:ascii="Arial" w:cs="Arial" w:eastAsia="Arial" w:hAnsi="Arial"/>
          <w:b/>
          <w:bCs/>
          <w:color w:val="7030A0"/>
          <w:sz w:val="24"/>
          <w:szCs w:val="24"/>
        </w:rPr>
        <w:t xml:space="preserve">[Open question: What session persistence model is appropriate — draft-per-question persistence, session cache only, or another approach? The SI should assess the trade-offs between DML frequency, data resilience and governor limit impact.]</w:t>
      </w:r>
    </w:p>
    <w:p>
      <w:pPr>
        <w:pStyle w:val="Heading2"/>
        <w:spacing w:after="120" w:before="280"/>
      </w:pPr>
      <w:r>
        <w:rPr>
          <w:rFonts w:ascii="Arial" w:cs="Arial" w:eastAsia="Arial" w:hAnsi="Arial"/>
          <w:b/>
          <w:bCs/>
          <w:sz w:val="28"/>
          <w:szCs w:val="28"/>
        </w:rPr>
        <w:t xml:space="preserve">4.5 Experience Cloud runtime</w:t>
      </w:r>
    </w:p>
    <w:p>
      <w:pPr>
        <w:spacing w:after="160" w:before="0"/>
      </w:pPr>
      <w:r>
        <w:rPr>
          <w:rFonts w:ascii="Arial" w:cs="Arial" w:eastAsia="Arial" w:hAnsi="Arial"/>
          <w:sz w:val="24"/>
          <w:szCs w:val="24"/>
        </w:rPr>
        <w:t xml:space="preserve">Salesforce Experience Cloud supports two runtime models: LWR (Lightning Web Runtime) and Aura. LWR is the strategic direction and offers better performance characteristics for citizen-facing sites. However, Aura may be required in some host org configurations.</w:t>
      </w:r>
    </w:p>
    <w:p>
      <w:pPr>
        <w:spacing w:after="100" w:before="100"/>
        <w:ind w:left="360"/>
      </w:pPr>
      <w:r>
        <w:rPr>
          <w:rFonts w:ascii="Arial" w:cs="Arial" w:eastAsia="Arial" w:hAnsi="Arial"/>
          <w:b/>
          <w:bCs/>
          <w:color w:val="7030A0"/>
          <w:sz w:val="24"/>
          <w:szCs w:val="24"/>
        </w:rPr>
        <w:t xml:space="preserve">[Open question: LWR or Aura? The SI should confirm which runtime is appropriate for the managed package context, and whether LWR’s component model imposes any constraints on the LWC component hierarchy described in section 3.3.]</w:t>
      </w:r>
    </w:p>
    <w:p>
      <w:pPr>
        <w:spacing w:after="80" w:before="0"/>
      </w:pPr>
    </w:p>
    <w:p>
      <w:pPr>
        <w:pStyle w:val="Heading1"/>
        <w:spacing w:after="160" w:before="360"/>
      </w:pPr>
      <w:r>
        <w:rPr>
          <w:rFonts w:ascii="Arial" w:cs="Arial" w:eastAsia="Arial" w:hAnsi="Arial"/>
          <w:b/>
          <w:bCs/>
          <w:sz w:val="32"/>
          <w:szCs w:val="32"/>
        </w:rPr>
        <w:t xml:space="preserve">5. Feasibility Assessment and Build Scope</w:t>
      </w:r>
    </w:p>
    <w:p>
      <w:pPr>
        <w:pStyle w:val="Heading2"/>
        <w:spacing w:after="120" w:before="280"/>
      </w:pPr>
      <w:r>
        <w:rPr>
          <w:rFonts w:ascii="Arial" w:cs="Arial" w:eastAsia="Arial" w:hAnsi="Arial"/>
          <w:b/>
          <w:bCs/>
          <w:sz w:val="28"/>
          <w:szCs w:val="28"/>
        </w:rPr>
        <w:t xml:space="preserve">5.1 Feasibility summary</w:t>
      </w:r>
    </w:p>
    <w:p>
      <w:pPr>
        <w:spacing w:after="160" w:before="0"/>
      </w:pPr>
      <w:r>
        <w:rPr>
          <w:rFonts w:ascii="Arial" w:cs="Arial" w:eastAsia="Arial" w:hAnsi="Arial"/>
          <w:sz w:val="24"/>
          <w:szCs w:val="24"/>
        </w:rPr>
        <w:t xml:space="preserve">The migration is feasible. Every component of the PoC has a credible Salesforce-native equivalent, and the domain logic is sufficiently well-defined to be ported with high confidence. The PoC architecture is well-structured, with domain logic clearly separated from presentation concerns: the SI does not need to reverse-engineer intent from the codebase.</w:t>
      </w:r>
    </w:p>
    <w:p>
      <w:pPr>
        <w:spacing w:after="160" w:before="0"/>
      </w:pPr>
      <w:r>
        <w:rPr>
          <w:rFonts w:ascii="Arial" w:cs="Arial" w:eastAsia="Arial" w:hAnsi="Arial"/>
          <w:sz w:val="24"/>
          <w:szCs w:val="24"/>
        </w:rPr>
        <w:t xml:space="preserve">The principal technical risks are the routing engine at scale, the permissions and delegation service, and the managed package architecture. None of these is a blocker; all have viable mitigations. They are areas of bounded complexity that require early prototyping and careful design, not fundamental architectural uncertainty.</w:t>
      </w:r>
    </w:p>
    <w:p>
      <w:pPr>
        <w:spacing w:after="160" w:before="0"/>
      </w:pPr>
      <w:r>
        <w:rPr>
          <w:rFonts w:ascii="Arial" w:cs="Arial" w:eastAsia="Arial" w:hAnsi="Arial"/>
          <w:sz w:val="24"/>
          <w:szCs w:val="24"/>
        </w:rPr>
        <w:t xml:space="preserve">The addition of the managed package requirement and national-scale non-functional requirements means the total build scope is materially larger than a single-org implementation of the same functional design. The SI should plan on the basis that managed package architecture, caching strategy, governor limit analysis and upgrade path design collectively represent a significant portion of the total effort — in addition to the functional component build.</w:t>
      </w:r>
    </w:p>
    <w:p>
      <w:pPr>
        <w:spacing w:after="80" w:before="0"/>
      </w:pPr>
    </w:p>
    <w:p>
      <w:pPr>
        <w:pStyle w:val="Heading2"/>
        <w:spacing w:after="120" w:before="280"/>
      </w:pPr>
      <w:r>
        <w:rPr>
          <w:rFonts w:ascii="Arial" w:cs="Arial" w:eastAsia="Arial" w:hAnsi="Arial"/>
          <w:b/>
          <w:bCs/>
          <w:sz w:val="28"/>
          <w:szCs w:val="28"/>
        </w:rPr>
        <w:t xml:space="preserve">5.2 RAG assessment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3971"/>
      </w:tblGrid>
      <w:tr>
        <w:tc>
          <w:tcPr>
            <w:tcW w:type="dxa" w:w="252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 / Risk</w:t>
            </w:r>
          </w:p>
        </w:tc>
        <w:tc>
          <w:tcPr>
            <w:tcW w:type="dxa" w:w="252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RAG</w:t>
            </w:r>
          </w:p>
        </w:tc>
        <w:tc>
          <w:tcPr>
            <w:tcW w:type="dxa" w:w="397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 and mitigation</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Core data model (Regime / Schedule / Section / Question / Routing as Custom Metadata)</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Straightforward mapping. Well-understood Salesforce pattern. Low risk.</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Routing engine — Option A (client-side, confirmed approach)</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Section size and policy legibility constraints together bound routing table size within comfortable LWC state limits. Path-state management logic to be confirmed via Django codebase review.</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Answer storage and history (Answer__c + AnswerHistory__c)</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 object with sharing rules is a well-understood Salesforce pattern. Delta tracking logic exists in PoC; port to Apex.</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Section-level permissions and delegation chain (Apex service)</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Custom logic required — no declarative equivalent. Complexity is bounded. Requires dedicated design effort.</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GDS-style UI in LWC (custom CSS, WCAG 2.1 AA)</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Achievable but UI effort should not be underestimated. No off-the-shelf GDS LWC library. Accessibility testing required throughout.</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Platform Cache strategy (routing and question metadata)</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Essential at national scale. Cache invalidation on metadata deployment requires careful design. SI to confirm cache capacity for target org.</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Governor limit compliance at national scale</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Requires early worst-case analysis. Bulkification of section confirmation transaction is the primary risk. No architectural blockers expected.</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Session management across page refreshes</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No direct Django session equivalent in LWC. Draft-per-question persistence is one mitigation. SI to assess options.</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Managed package architecture (namespacing, upgrade paths)</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Significant additional complexity beyond single-org build. Upgrade path design requires careful attention to avoid breaking host org configurations.</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Per-regime data isolation (Sharing Rules)</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Replaces per-regime DB tables. Standard Salesforce pattern, but SI should confirm adequacy in managed package context.</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Cross-regime answer pre-population</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Query Answer__c across regimes by question_id and user_id. Straightforward, subject to sharing rules permitting the cross-regime lookup.</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Table sections (repeating row entry)</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Medium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Requires careful LWC state management. No direct Salesforce native equivalent. TableSection component is a significant UI build.</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Configuration tooling (admin LWC + CLI)</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CSV tooling exists in PoC. Port to CLI / Tooling API is low risk. Admin LWC scope to be agreed.</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Consistency checking at login</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Low</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Direct port of existing Python logic to Apex. Low risk.</w:t>
            </w:r>
          </w:p>
        </w:tc>
      </w:tr>
    </w:tbl>
    <w:p>
      <w:pPr>
        <w:spacing w:after="80" w:before="0"/>
      </w:pPr>
    </w:p>
    <w:p>
      <w:pPr>
        <w:pStyle w:val="Heading2"/>
        <w:spacing w:after="120" w:before="280"/>
      </w:pPr>
      <w:r>
        <w:rPr>
          <w:rFonts w:ascii="Arial" w:cs="Arial" w:eastAsia="Arial" w:hAnsi="Arial"/>
          <w:b/>
          <w:bCs/>
          <w:sz w:val="28"/>
          <w:szCs w:val="28"/>
        </w:rPr>
        <w:t xml:space="preserve">5.3 Indicative build scope</w:t>
      </w:r>
    </w:p>
    <w:p>
      <w:pPr>
        <w:spacing w:after="160" w:before="0"/>
      </w:pPr>
      <w:r>
        <w:rPr>
          <w:rFonts w:ascii="Arial" w:cs="Arial" w:eastAsia="Arial" w:hAnsi="Arial"/>
          <w:sz w:val="24"/>
          <w:szCs w:val="24"/>
        </w:rPr>
        <w:t xml:space="preserve">The following is an indicative scope breakdown for SI estimation. These are not commitments and should be refined during solution design. Estimates assume a team with Salesforce LWC proficiency, Apex experience, and managed package development capability, with access to the PoC codebase and the commissioning organisation’s subject matter experts.</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3971"/>
      </w:tblGrid>
      <w:tr>
        <w:tc>
          <w:tcPr>
            <w:tcW w:type="dxa" w:w="252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Work package</w:t>
            </w:r>
          </w:p>
        </w:tc>
        <w:tc>
          <w:tcPr>
            <w:tcW w:type="dxa" w:w="252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Size</w:t>
            </w:r>
          </w:p>
        </w:tc>
        <w:tc>
          <w:tcPr>
            <w:tcW w:type="dxa" w:w="397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Managed package setup (namespace, org configuration, package structure)</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One-off setup. Must happen before other development.</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Data model: Custom Metadata Types + Custom Objects</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Straightforward mapping. Includes namespacing throughout.</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Routing engine (Option A, client-side)</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Implement path-state management logic (from Django PoC) in LWC. Include Platform Cache integration for routing metadata.</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Platform Cache strategy (routing, question, session)</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Caching layer design and implementation. Cache invalidation on metadata deployment.</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LWC component library (RegimeShell, ScheduleNav, SectionController, QuestionSingle, QuestionMulti, TableSection, ReviewSection, ConfirmSection)</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Largest single build item. GDS styling and WCAG 2.1 AA compliance adds material effort.</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Answer storage and history service (Apex)</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Delta tracking logic from PoC; port to Apex. Includes bulkification.</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Permission model and delegation chain (Apex service)</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logic. Bounded complexity but requires dedicated design.</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Governor limit analysis and bulkification</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Worst-case transaction profiling. Remediation effort depends on findings.</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Session management design and implementation</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Depends on chosen persistence model.</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Experience Cloud site configuration</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Standard platform work.</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Configuration tooling (CLI script + admin LWC)</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CLI: port of PoC CSV tooling. Admin LWC scope to be agreed.</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Consistency check service (Apex)</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Direct port of existing Python logic.</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Upgrade path design and testing</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Schema migration, version compatibility, push vs pull upgrade model.</w:t>
            </w:r>
          </w:p>
        </w:tc>
      </w:tr>
      <w:tr>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Testing, UAT support and regime configuration testing</w:t>
            </w:r>
          </w:p>
        </w:tc>
        <w:tc>
          <w:tcPr>
            <w:tcW w:type="dxa" w:w="252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w:t>
            </w:r>
          </w:p>
        </w:tc>
        <w:tc>
          <w:tcPr>
            <w:tcW w:type="dxa" w:w="397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Regime configuration is data-heavy. Include accessibility audit.</w:t>
            </w:r>
          </w:p>
        </w:tc>
      </w:tr>
      <w:tr>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Migration of existing PoC regime data</w:t>
            </w:r>
          </w:p>
        </w:tc>
        <w:tc>
          <w:tcPr>
            <w:tcW w:type="dxa" w:w="252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S–M</w:t>
            </w:r>
          </w:p>
        </w:tc>
        <w:tc>
          <w:tcPr>
            <w:tcW w:type="dxa" w:w="397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Depends on number of regimes and question/routing volumes.</w:t>
            </w:r>
          </w:p>
        </w:tc>
      </w:tr>
    </w:tbl>
    <w:p>
      <w:pPr>
        <w:spacing w:after="80" w:before="0"/>
      </w:pPr>
    </w:p>
    <w:p>
      <w:pPr>
        <w:spacing w:after="160" w:before="0"/>
      </w:pPr>
      <w:r>
        <w:rPr>
          <w:rFonts w:ascii="Arial" w:cs="Arial" w:eastAsia="Arial" w:hAnsi="Arial"/>
          <w:i/>
          <w:iCs/>
          <w:sz w:val="24"/>
          <w:szCs w:val="24"/>
        </w:rPr>
        <w:t xml:space="preserve">S = 1–3 weeks, M = 3–6 weeks, L = 6–10 weeks. All estimates are indicative and subject to revision during solution design.</w:t>
      </w:r>
    </w:p>
    <w:p>
      <w:pPr>
        <w:spacing w:after="80" w:before="0"/>
      </w:pPr>
    </w:p>
    <w:p>
      <w:pPr>
        <w:pStyle w:val="Heading1"/>
        <w:spacing w:after="160" w:before="360"/>
      </w:pPr>
      <w:r>
        <w:rPr>
          <w:rFonts w:ascii="Arial" w:cs="Arial" w:eastAsia="Arial" w:hAnsi="Arial"/>
          <w:b/>
          <w:bCs/>
          <w:sz w:val="32"/>
          <w:szCs w:val="32"/>
        </w:rPr>
        <w:t xml:space="preserve">6. Status and Next Steps</w:t>
      </w:r>
    </w:p>
    <w:p>
      <w:pPr>
        <w:spacing w:after="160" w:before="0"/>
      </w:pPr>
      <w:r>
        <w:rPr>
          <w:rFonts w:ascii="Arial" w:cs="Arial" w:eastAsia="Arial" w:hAnsi="Arial"/>
          <w:sz w:val="24"/>
          <w:szCs w:val="24"/>
        </w:rPr>
        <w:t xml:space="preserve">This document is a draft design. The open questions flagged in purple throughout are the immediate priority: they should be worked through cluster by cluster with a Salesforce architect, updating this specification as each is resolved. The result will be a confirmed architecture ready to hand to a build team.</w:t>
      </w:r>
    </w:p>
    <w:p>
      <w:pPr>
        <w:spacing w:after="160" w:before="0"/>
      </w:pPr>
      <w:r>
        <w:rPr>
          <w:rFonts w:ascii="Arial" w:cs="Arial" w:eastAsia="Arial" w:hAnsi="Arial"/>
          <w:sz w:val="24"/>
          <w:szCs w:val="24"/>
        </w:rPr>
        <w:t xml:space="preserve">The sequencing of that work — what to do now, what to defer, and why — is set out in the companion paper ‘What We Can and Cannot Usefully Do Now’, which should be read alongside this specification. The open questions in this document correspond directly to the design decision sessions described in that paper.</w:t>
      </w:r>
    </w:p>
    <w:p>
      <w:pPr>
        <w:spacing w:after="160" w:before="0"/>
      </w:pPr>
      <w:r>
        <w:rPr>
          <w:rFonts w:ascii="Arial" w:cs="Arial" w:eastAsia="Arial" w:hAnsi="Arial"/>
          <w:sz w:val="24"/>
          <w:szCs w:val="24"/>
        </w:rPr>
        <w:t xml:space="preserve">Once the open questions are resolved and a first government customer has confirmed the operating model, this specification becomes the build brief. The build scope and feasibility assessment in section 5 are addressed to that moment.</w:t>
      </w:r>
    </w:p>
    <w:p>
      <w:pPr>
        <w:spacing w:after="80" w:before="0"/>
      </w:pPr>
    </w:p>
    <w:p>
      <w:pPr>
        <w:spacing w:after="80" w:before="0"/>
      </w:pPr>
    </w:p>
    <w:p>
      <w:pPr>
        <w:pStyle w:val="Heading1"/>
        <w:spacing w:after="160" w:before="360"/>
      </w:pPr>
      <w:r>
        <w:rPr>
          <w:rFonts w:ascii="Arial" w:cs="Arial" w:eastAsia="Arial" w:hAnsi="Arial"/>
          <w:b/>
          <w:bCs/>
          <w:sz w:val="32"/>
          <w:szCs w:val="32"/>
        </w:rPr>
        <w:t xml:space="preserve">Appendix: PoC Technical Summary</w:t>
      </w:r>
    </w:p>
    <w:p>
      <w:pPr>
        <w:spacing w:after="160" w:before="0"/>
      </w:pPr>
      <w:r>
        <w:rPr>
          <w:rFonts w:ascii="Arial" w:cs="Arial" w:eastAsia="Arial" w:hAnsi="Arial"/>
          <w:sz w:val="24"/>
          <w:szCs w:val="24"/>
        </w:rPr>
        <w:t xml:space="preserve">For reference, the following table summarises the key technical characteristics of the existing PoC implementation, against which the Salesforce architecture described in this document is designed.</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7"/>
      </w:tblGrid>
      <w:tr>
        <w:tc>
          <w:tcPr>
            <w:tcW w:type="dxa" w:w="288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Attribute</w:t>
            </w:r>
          </w:p>
        </w:tc>
        <w:tc>
          <w:tcPr>
            <w:tcW w:type="dxa" w:w="613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Language / Framework</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Python 3 / Django 4.x</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PostgreSQL (Neon hosted); per-regime table pattern for answer storage</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Session management</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Django server-side session (session_dict pattern)</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Question types supported</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radio, text, textarea, checkbox, number, picklist</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 types</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Classic (0) — single or multi question per screen; Table (1) — repeating row entry</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Routing model</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Explicit graph: section + current_question + answer_value → next_question. END sentinel terminates flow.</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Permission granularity</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Section-level; supports citizen, organisation employee, intermediary, intermediary employee</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Answer history</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Delta-only: displaced values archived to AnswerBasicHistory on section confirmation</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Consistency checking</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Login-time validation: routing referential integrity, answer values vs question options, section topology</w:t>
            </w:r>
          </w:p>
        </w:tc>
      </w:tr>
      <w:tr>
        <w:tc>
          <w:tcPr>
            <w:tcW w:type="dxa" w:w="28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Cross-regime prefill</w:t>
            </w:r>
          </w:p>
        </w:tc>
        <w:tc>
          <w:tcPr>
            <w:tcW w:type="dxa" w:w="613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Latest confirmed answer for question_id across same-department regimes, with provenance timestamp</w:t>
            </w:r>
          </w:p>
        </w:tc>
      </w:tr>
      <w:tr>
        <w:tc>
          <w:tcPr>
            <w:tcW w:type="dxa" w:w="288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Admin tooling</w:t>
            </w:r>
          </w:p>
        </w:tc>
        <w:tc>
          <w:tcPr>
            <w:tcW w:type="dxa" w:w="61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CSV upload views for all config objects; UI-based create for regimes, schedules, sections and routing</w:t>
            </w:r>
          </w:p>
        </w:tc>
      </w:tr>
    </w:tbl>
    <w:p>
      <w:pPr>
        <w:spacing w:after="80" w:before="0"/>
      </w:pPr>
    </w:p>
    <w:p>
      <w:pPr>
        <w:spacing w:after="160" w:before="0"/>
      </w:pPr>
      <w:r>
        <w:rPr>
          <w:rFonts w:ascii="Arial" w:cs="Arial" w:eastAsia="Arial" w:hAnsi="Arial"/>
          <w:i/>
          <w:iCs/>
          <w:sz w:val="24"/>
          <w:szCs w:val="24"/>
        </w:rPr>
        <w:t xml:space="preserve">DRAFT FOR SI REVIEW — Not for wider circulation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pPr>
    <w:r>
      <w:rPr>
        <w:rFonts w:ascii="Arial" w:cs="Arial" w:eastAsia="Arial" w:hAnsi="Arial"/>
        <w:color w:val="888888"/>
        <w:sz w:val="18"/>
        <w:szCs w:val="18"/>
      </w:rPr>
      <w:t xml:space="preserve">Version 0.2  |  March 2026  |  DRAFT FOR SI REVIEW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Citizen–Government Data Exchange  —  SI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2026-05-07T14:51:40.898Z</dcterms:created>
  <dcterms:modified xsi:type="dcterms:W3CDTF">2026-05-07T14:51:40.898Z</dcterms:modified>
</cp:coreProperties>
</file>

<file path=docProps/custom.xml><?xml version="1.0" encoding="utf-8"?>
<Properties xmlns="http://schemas.openxmlformats.org/officeDocument/2006/custom-properties" xmlns:vt="http://schemas.openxmlformats.org/officeDocument/2006/docPropsVTypes"/>
</file>