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57DA" w14:textId="77777777" w:rsidR="0041262E" w:rsidRDefault="00000000">
      <w:pPr>
        <w:spacing w:after="60"/>
      </w:pPr>
      <w:r>
        <w:rPr>
          <w:color w:val="555555"/>
          <w:sz w:val="24"/>
          <w:szCs w:val="24"/>
        </w:rPr>
        <w:t>A New Operating Model for</w:t>
      </w:r>
    </w:p>
    <w:p w14:paraId="70D71491" w14:textId="77777777" w:rsidR="0041262E" w:rsidRDefault="00000000">
      <w:pPr>
        <w:spacing w:after="80"/>
      </w:pPr>
      <w:r>
        <w:rPr>
          <w:b/>
          <w:bCs/>
          <w:color w:val="1F3864"/>
          <w:sz w:val="40"/>
          <w:szCs w:val="40"/>
        </w:rPr>
        <w:t>Citizen–Government Data Exchange</w:t>
      </w:r>
    </w:p>
    <w:p w14:paraId="063CFEBB" w14:textId="77777777" w:rsidR="0041262E" w:rsidRDefault="00000000">
      <w:pPr>
        <w:spacing w:after="60"/>
      </w:pPr>
      <w:r>
        <w:rPr>
          <w:i/>
          <w:iCs/>
          <w:color w:val="2E75B6"/>
          <w:sz w:val="26"/>
          <w:szCs w:val="26"/>
        </w:rPr>
        <w:t>A Policy and Architecture Vision</w:t>
      </w:r>
    </w:p>
    <w:p w14:paraId="6D050FBE" w14:textId="77777777" w:rsidR="0041262E" w:rsidRDefault="00000000">
      <w:pPr>
        <w:spacing w:after="60"/>
      </w:pPr>
      <w:r>
        <w:rPr>
          <w:i/>
          <w:iCs/>
          <w:color w:val="444444"/>
        </w:rPr>
        <w:t>How five interlocking design principles could transform the delivery of transactional public services in the United Kingdom</w:t>
      </w:r>
    </w:p>
    <w:p w14:paraId="7639D49F" w14:textId="77777777" w:rsidR="0041262E" w:rsidRDefault="0041262E">
      <w:pPr>
        <w:pBdr>
          <w:bottom w:val="single" w:sz="12" w:space="1" w:color="2E75B6"/>
        </w:pBdr>
        <w:spacing w:after="80"/>
      </w:pPr>
    </w:p>
    <w:p w14:paraId="239EC77B" w14:textId="77777777" w:rsidR="0041262E" w:rsidRDefault="00000000">
      <w:pPr>
        <w:spacing w:after="480"/>
      </w:pPr>
      <w:r>
        <w:rPr>
          <w:color w:val="888888"/>
          <w:sz w:val="20"/>
          <w:szCs w:val="20"/>
        </w:rPr>
        <w:t xml:space="preserve">Version </w:t>
      </w:r>
      <w:proofErr w:type="gramStart"/>
      <w:r>
        <w:rPr>
          <w:color w:val="888888"/>
          <w:sz w:val="20"/>
          <w:szCs w:val="20"/>
        </w:rPr>
        <w:t>2.0  |</w:t>
      </w:r>
      <w:proofErr w:type="gramEnd"/>
      <w:r>
        <w:rPr>
          <w:color w:val="888888"/>
          <w:sz w:val="20"/>
          <w:szCs w:val="20"/>
        </w:rPr>
        <w:t xml:space="preserve">  March </w:t>
      </w:r>
      <w:proofErr w:type="gramStart"/>
      <w:r>
        <w:rPr>
          <w:color w:val="888888"/>
          <w:sz w:val="20"/>
          <w:szCs w:val="20"/>
        </w:rPr>
        <w:t>2026  |</w:t>
      </w:r>
      <w:proofErr w:type="gramEnd"/>
      <w:r>
        <w:rPr>
          <w:color w:val="888888"/>
          <w:sz w:val="20"/>
          <w:szCs w:val="20"/>
        </w:rPr>
        <w:t xml:space="preserve">  DRAFT FOR DISCUSSION</w:t>
      </w:r>
    </w:p>
    <w:p w14:paraId="1D578CEE" w14:textId="77777777" w:rsidR="0041262E" w:rsidRDefault="00000000">
      <w:pPr>
        <w:pStyle w:val="Heading1"/>
      </w:pPr>
      <w:r>
        <w:t>1. The Problem: Four Failures, One Root Cause</w:t>
      </w:r>
    </w:p>
    <w:p w14:paraId="42C658BB" w14:textId="77777777" w:rsidR="0041262E" w:rsidRDefault="00000000">
      <w:pPr>
        <w:spacing w:after="160"/>
      </w:pPr>
      <w:r>
        <w:t>Every year, millions of citizens interact with government to secure an entitlement — a benefit, a grant, a licence, a passport — or to settle a liability: a tax, a fine, a maintenance payment. These interactions are the lived experience of the state. And for most citizens, they are painful.</w:t>
      </w:r>
    </w:p>
    <w:p w14:paraId="4E46E8B5" w14:textId="77777777" w:rsidR="0041262E" w:rsidRDefault="00000000">
      <w:pPr>
        <w:spacing w:after="160"/>
      </w:pPr>
      <w:r>
        <w:t>The pain is not accidental. It is structural. And it has four distinct dimensions, each of which has resisted solution in isolation. The central argument of this document is that they share a common root cause — and that a single coherent architectural response can address all four together.</w:t>
      </w:r>
    </w:p>
    <w:p w14:paraId="115A3B61" w14:textId="77777777" w:rsidR="0041262E" w:rsidRDefault="0041262E">
      <w:pPr>
        <w:spacing w:after="80"/>
      </w:pPr>
    </w:p>
    <w:p w14:paraId="4DA4A0A0" w14:textId="77777777" w:rsidR="0041262E" w:rsidRDefault="00000000">
      <w:pPr>
        <w:pBdr>
          <w:left w:val="single" w:sz="18" w:space="8" w:color="C0392B"/>
        </w:pBdr>
        <w:spacing w:before="120" w:after="160"/>
        <w:ind w:left="360"/>
      </w:pPr>
      <w:r>
        <w:rPr>
          <w:b/>
          <w:bCs/>
        </w:rPr>
        <w:t>Failure 1: Citizens are asked the same questions, over and over again.</w:t>
      </w:r>
      <w:r>
        <w:t xml:space="preserve">  Date of birth. Address. National Insurance number. Spouse’s name. Earnings. Each regime — each service — asks from scratch, as if the citizen is a stranger. Government holds vast quantities of citizen data, but the legal, organisational and technical barriers to sharing it between departments mean that the citizen bears the cost of the fragmentation. The aspiration to “tell us once” has been articulated for twenty years. It has not been delivered.</w:t>
      </w:r>
    </w:p>
    <w:p w14:paraId="3FB2F04B" w14:textId="77777777" w:rsidR="0041262E" w:rsidRDefault="00000000">
      <w:pPr>
        <w:pBdr>
          <w:left w:val="single" w:sz="18" w:space="8" w:color="C0392B"/>
        </w:pBdr>
        <w:spacing w:before="120" w:after="160"/>
        <w:ind w:left="360"/>
      </w:pPr>
      <w:r>
        <w:rPr>
          <w:b/>
          <w:bCs/>
        </w:rPr>
        <w:t>Failure 2: Building and maintaining digital services is slow and expensive.</w:t>
      </w:r>
      <w:r>
        <w:t xml:space="preserve">  The Government Digital Service design standards — GDS — represent a genuine achievement: accessible, clear, consistent public services built around the needs of the citizen. But compliance with GDS standards is achieved today largely by hand. Each question, each page, each regime is crafted individually by specialist developers and designers. A new benefit regime or a change to an existing one requires a development sprint. Policy teams cannot move at the speed of policy.</w:t>
      </w:r>
    </w:p>
    <w:p w14:paraId="4EB942BD" w14:textId="77777777" w:rsidR="0041262E" w:rsidRDefault="00000000">
      <w:pPr>
        <w:pBdr>
          <w:left w:val="single" w:sz="18" w:space="8" w:color="C0392B"/>
        </w:pBdr>
        <w:spacing w:before="120" w:after="160"/>
        <w:ind w:left="360"/>
      </w:pPr>
      <w:r>
        <w:rPr>
          <w:b/>
          <w:bCs/>
        </w:rPr>
        <w:t>Failure 3: Data sharing between departments is legally and operationally fraught.</w:t>
      </w:r>
      <w:r>
        <w:t xml:space="preserve">  Where government does attempt to share citizen data between departments, it encounters a tangle of legal gateways, data sharing agreements, and legitimate concerns about consent and purpose limitation. The result is that data sharing happens slowly, incompletely, and often invisibly to the citizen whose data is being shared. Citizens have no meaningful control and no visibility.</w:t>
      </w:r>
    </w:p>
    <w:p w14:paraId="3442302A" w14:textId="77777777" w:rsidR="0041262E" w:rsidRDefault="00000000">
      <w:pPr>
        <w:pBdr>
          <w:left w:val="single" w:sz="18" w:space="8" w:color="C0392B"/>
        </w:pBdr>
        <w:spacing w:before="120" w:after="160"/>
        <w:ind w:left="360"/>
      </w:pPr>
      <w:r>
        <w:rPr>
          <w:b/>
          <w:bCs/>
        </w:rPr>
        <w:t>Failure 4: The integrity of shared data is assumed, not verified.</w:t>
      </w:r>
      <w:r>
        <w:t xml:space="preserve">  Even where data is shared, it is typically shared as a fact: your address is X, your earnings are Y. But facts decay. Addresses change. Relationships change. Earnings change. A data point captured in one regime six months ago may be wrong today. Silent data sharing — where a pre-populated answer is accepted without the citizen’s confirmation — creates legal and operational risk for both government and citizen.</w:t>
      </w:r>
    </w:p>
    <w:p w14:paraId="6A3E9D7D" w14:textId="77777777" w:rsidR="0041262E" w:rsidRDefault="0041262E">
      <w:pPr>
        <w:spacing w:after="80"/>
      </w:pPr>
    </w:p>
    <w:p w14:paraId="7F2CA344" w14:textId="77777777" w:rsidR="0041262E" w:rsidRDefault="00000000">
      <w:pPr>
        <w:pBdr>
          <w:left w:val="single" w:sz="18" w:space="8" w:color="2E75B6"/>
        </w:pBdr>
        <w:spacing w:before="200" w:after="200"/>
        <w:ind w:left="480" w:right="480"/>
      </w:pPr>
      <w:r>
        <w:rPr>
          <w:b/>
          <w:bCs/>
          <w:i/>
          <w:iCs/>
        </w:rPr>
        <w:lastRenderedPageBreak/>
        <w:t>The root cause of all four failures is the same: transactional public services have been built as isolated silos, with no shared model for how citizen data is captured, owned, shared and verified.</w:t>
      </w:r>
    </w:p>
    <w:p w14:paraId="6E806641" w14:textId="77777777" w:rsidR="0041262E" w:rsidRDefault="0041262E">
      <w:pPr>
        <w:spacing w:after="80"/>
      </w:pPr>
    </w:p>
    <w:p w14:paraId="4EDFC3DF" w14:textId="77777777" w:rsidR="0041262E" w:rsidRDefault="00000000">
      <w:pPr>
        <w:spacing w:after="160"/>
      </w:pPr>
      <w:r>
        <w:t>The solution is not to build better silos. It is to replace the silo model with something structurally different: a shared operating model for citizen–government data exchange, built around the citizen as the owner and controller of their own data.</w:t>
      </w:r>
    </w:p>
    <w:p w14:paraId="796A3061" w14:textId="77777777" w:rsidR="0041262E" w:rsidRDefault="00000000">
      <w:pPr>
        <w:pStyle w:val="Heading1"/>
      </w:pPr>
      <w:r>
        <w:t>2. The Vision: A New Operating Model</w:t>
      </w:r>
    </w:p>
    <w:p w14:paraId="79CEE86E" w14:textId="77777777" w:rsidR="0041262E" w:rsidRDefault="00000000">
      <w:pPr>
        <w:spacing w:after="160"/>
      </w:pPr>
      <w:r>
        <w:t>The vision is straightforward to state, if demanding to realise. Every transactional public service — every regime — is built on a common data model. Questions are defined once and reused. Routing logic is configured as data, not code. Answers are owned by the citizen, freshly asserted each time they are used, with full provenance. And citizens control who can see and act on their data, at whatever level of granularity they choose.</w:t>
      </w:r>
    </w:p>
    <w:p w14:paraId="11B7B315" w14:textId="77777777" w:rsidR="0041262E" w:rsidRDefault="00000000">
      <w:pPr>
        <w:spacing w:after="160"/>
      </w:pPr>
      <w:r>
        <w:t>This is not a portal. It is not a single government login. It is an operating model: a set of architectural principles and a shared data structure that any regime can adopt, while remaining fully independent in its policy logic.</w:t>
      </w:r>
    </w:p>
    <w:p w14:paraId="4F5DEE7E" w14:textId="77777777" w:rsidR="0041262E" w:rsidRDefault="00000000">
      <w:pPr>
        <w:pBdr>
          <w:left w:val="single" w:sz="18" w:space="8" w:color="2E75B6"/>
        </w:pBdr>
        <w:spacing w:before="200" w:after="200"/>
        <w:ind w:left="480" w:right="480"/>
      </w:pPr>
      <w:r>
        <w:rPr>
          <w:b/>
          <w:bCs/>
          <w:i/>
          <w:iCs/>
        </w:rPr>
        <w:t>“A new operating model for citizen–government data exchange.”</w:t>
      </w:r>
    </w:p>
    <w:p w14:paraId="619324A6" w14:textId="77777777" w:rsidR="0041262E" w:rsidRDefault="00000000">
      <w:pPr>
        <w:spacing w:after="160"/>
      </w:pPr>
      <w:r>
        <w:t>The model rests on five interlocking design principles. They are described individually below, but their power comes from their combination: each one reinforces the others, and together they resolve problems that none can solve alone.</w:t>
      </w:r>
    </w:p>
    <w:p w14:paraId="64F1DC14" w14:textId="77777777" w:rsidR="0041262E" w:rsidRDefault="00000000">
      <w:pPr>
        <w:pStyle w:val="Heading1"/>
      </w:pPr>
      <w:r>
        <w:t>3. Five Interlocking Principles</w:t>
      </w:r>
    </w:p>
    <w:p w14:paraId="2D94DB0F" w14:textId="77777777" w:rsidR="0041262E" w:rsidRDefault="004126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1262E" w14:paraId="013AD698"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2A4A897" w14:textId="77777777" w:rsidR="0041262E" w:rsidRDefault="00000000">
            <w:pPr>
              <w:spacing w:after="40"/>
            </w:pPr>
            <w:r>
              <w:rPr>
                <w:b/>
                <w:bCs/>
                <w:sz w:val="20"/>
                <w:szCs w:val="20"/>
              </w:rPr>
              <w:t>Principle</w:t>
            </w:r>
          </w:p>
          <w:p w14:paraId="41E4700A" w14:textId="77777777" w:rsidR="0041262E" w:rsidRDefault="00000000">
            <w:pPr>
              <w:spacing w:after="40"/>
            </w:pPr>
            <w:r>
              <w:rPr>
                <w:b/>
                <w:bCs/>
                <w:color w:val="1F3864"/>
                <w:sz w:val="32"/>
                <w:szCs w:val="32"/>
              </w:rPr>
              <w:t>1</w:t>
            </w:r>
          </w:p>
        </w:tc>
        <w:tc>
          <w:tcPr>
            <w:tcW w:w="7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AAF889" w14:textId="77777777" w:rsidR="0041262E" w:rsidRDefault="00000000">
            <w:pPr>
              <w:spacing w:after="100"/>
            </w:pPr>
            <w:r>
              <w:rPr>
                <w:b/>
                <w:bCs/>
                <w:sz w:val="24"/>
                <w:szCs w:val="24"/>
              </w:rPr>
              <w:t>Consent-Based Data Sharing: The Citizen as Data Controller</w:t>
            </w:r>
          </w:p>
          <w:p w14:paraId="010D95DC" w14:textId="77777777" w:rsidR="0041262E" w:rsidRDefault="00000000">
            <w:pPr>
              <w:spacing w:after="60"/>
            </w:pPr>
            <w:r>
              <w:t>Citizens give permission for their data to be shared across regimes — and they are likely to do so willingly, because the benefit is visible and immediate. This sidesteps the legal complexity of inter-departmental data sharing agreements entirely: the citizen is the data controller, and their consent is the gateway. No new legal framework is required. No departmental negotiation. The citizen decides.</w:t>
            </w:r>
          </w:p>
        </w:tc>
      </w:tr>
      <w:tr w:rsidR="0041262E" w14:paraId="2B81F259"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9472524" w14:textId="77777777" w:rsidR="0041262E" w:rsidRDefault="00000000">
            <w:pPr>
              <w:spacing w:after="40"/>
            </w:pPr>
            <w:r>
              <w:rPr>
                <w:b/>
                <w:bCs/>
                <w:sz w:val="20"/>
                <w:szCs w:val="20"/>
              </w:rPr>
              <w:t>Principle</w:t>
            </w:r>
          </w:p>
          <w:p w14:paraId="4968A397" w14:textId="77777777" w:rsidR="0041262E" w:rsidRDefault="00000000">
            <w:pPr>
              <w:spacing w:after="40"/>
            </w:pPr>
            <w:r>
              <w:rPr>
                <w:b/>
                <w:bCs/>
                <w:color w:val="1F3864"/>
                <w:sz w:val="32"/>
                <w:szCs w:val="32"/>
              </w:rPr>
              <w:t>2</w:t>
            </w:r>
          </w:p>
        </w:tc>
        <w:tc>
          <w:tcPr>
            <w:tcW w:w="7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58AA5A" w14:textId="77777777" w:rsidR="0041262E" w:rsidRDefault="00000000">
            <w:pPr>
              <w:spacing w:after="100"/>
            </w:pPr>
            <w:r>
              <w:rPr>
                <w:b/>
                <w:bCs/>
                <w:sz w:val="24"/>
                <w:szCs w:val="24"/>
              </w:rPr>
              <w:t>Confirmation, Not Assumption: Fresh Assertion as the Standard</w:t>
            </w:r>
          </w:p>
          <w:p w14:paraId="3A8C1803" w14:textId="77777777" w:rsidR="0041262E" w:rsidRDefault="00000000">
            <w:pPr>
              <w:spacing w:after="60"/>
            </w:pPr>
            <w:r>
              <w:t>Pre-populated answers are suggestions, not facts. When a citizen’s previous answer is available and they have consented to its reuse, it is offered as a default — but the citizen is always asked to confirm or correct it before it is recorded. This means every answer in the system is freshly asserted by the citizen, timestamped, with full provenance. Data quality is built into the interaction model, not bolted on afterwards. The decay problem is resolved structurally.</w:t>
            </w:r>
          </w:p>
        </w:tc>
      </w:tr>
      <w:tr w:rsidR="0041262E" w14:paraId="450C7C8B"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33B1035" w14:textId="77777777" w:rsidR="0041262E" w:rsidRDefault="00000000">
            <w:pPr>
              <w:spacing w:after="40"/>
            </w:pPr>
            <w:r>
              <w:rPr>
                <w:b/>
                <w:bCs/>
                <w:sz w:val="20"/>
                <w:szCs w:val="20"/>
              </w:rPr>
              <w:t>Principle</w:t>
            </w:r>
          </w:p>
          <w:p w14:paraId="7BE98CDA" w14:textId="77777777" w:rsidR="0041262E" w:rsidRDefault="00000000">
            <w:pPr>
              <w:spacing w:after="40"/>
            </w:pPr>
            <w:r>
              <w:rPr>
                <w:b/>
                <w:bCs/>
                <w:color w:val="1F3864"/>
                <w:sz w:val="32"/>
                <w:szCs w:val="32"/>
              </w:rPr>
              <w:t>3</w:t>
            </w:r>
          </w:p>
        </w:tc>
        <w:tc>
          <w:tcPr>
            <w:tcW w:w="7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D91F6" w14:textId="77777777" w:rsidR="0041262E" w:rsidRDefault="00000000">
            <w:pPr>
              <w:spacing w:after="100"/>
            </w:pPr>
            <w:r>
              <w:rPr>
                <w:b/>
                <w:bCs/>
                <w:sz w:val="24"/>
                <w:szCs w:val="24"/>
              </w:rPr>
              <w:t>Policy Agility: Configuration as Data, Not Code</w:t>
            </w:r>
          </w:p>
          <w:p w14:paraId="6E65737D" w14:textId="77777777" w:rsidR="0041262E" w:rsidRDefault="00000000">
            <w:pPr>
              <w:spacing w:after="60"/>
            </w:pPr>
            <w:r>
              <w:t xml:space="preserve">Every regime is defined entirely as data — questions, routing logic, section structure, permissions. Civil servants and policy teams can inspect, configure and amend regimes using familiar tools, without writing a line of code or raising a development ticket. A new regime, a new question, a change to </w:t>
            </w:r>
            <w:r>
              <w:lastRenderedPageBreak/>
              <w:t>conditional logic: these are data operations, not software deployments. The barrier between policy intent and digital reality is removed.</w:t>
            </w:r>
          </w:p>
        </w:tc>
      </w:tr>
      <w:tr w:rsidR="0041262E" w14:paraId="4278AFAB"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B12BD56" w14:textId="77777777" w:rsidR="0041262E" w:rsidRDefault="00000000">
            <w:pPr>
              <w:spacing w:after="40"/>
            </w:pPr>
            <w:r>
              <w:rPr>
                <w:b/>
                <w:bCs/>
                <w:sz w:val="20"/>
                <w:szCs w:val="20"/>
              </w:rPr>
              <w:lastRenderedPageBreak/>
              <w:t>Principle</w:t>
            </w:r>
          </w:p>
          <w:p w14:paraId="68F641BD" w14:textId="77777777" w:rsidR="0041262E" w:rsidRDefault="00000000">
            <w:pPr>
              <w:spacing w:after="40"/>
            </w:pPr>
            <w:r>
              <w:rPr>
                <w:b/>
                <w:bCs/>
                <w:color w:val="1F3864"/>
                <w:sz w:val="32"/>
                <w:szCs w:val="32"/>
              </w:rPr>
              <w:t>4</w:t>
            </w:r>
          </w:p>
        </w:tc>
        <w:tc>
          <w:tcPr>
            <w:tcW w:w="7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44E406" w14:textId="77777777" w:rsidR="0041262E" w:rsidRDefault="00000000">
            <w:pPr>
              <w:spacing w:after="100"/>
            </w:pPr>
            <w:r>
              <w:rPr>
                <w:b/>
                <w:bCs/>
                <w:sz w:val="24"/>
                <w:szCs w:val="24"/>
              </w:rPr>
              <w:t>GDS Compliance at Scale: Inspectable Templates, Not Handcrafted Pages</w:t>
            </w:r>
          </w:p>
          <w:p w14:paraId="4FEC9764" w14:textId="77777777" w:rsidR="0041262E" w:rsidRDefault="00000000">
            <w:pPr>
              <w:spacing w:after="60"/>
            </w:pPr>
            <w:r>
              <w:t>A small library of GDS-compliant presentation templates — one per question type — replaces the current practice of hand-crafting each page of each regime individually. Templates are maintained externally by government designers, are fully inspectable, and can be updated once to propagate a change across every question of that type in every regime. GDS compliance becomes a structural guarantee, not a per-regime effort.</w:t>
            </w:r>
          </w:p>
        </w:tc>
      </w:tr>
      <w:tr w:rsidR="0041262E" w14:paraId="377053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2AF812E2" w14:textId="77777777" w:rsidR="0041262E" w:rsidRDefault="00000000">
            <w:pPr>
              <w:spacing w:after="40"/>
            </w:pPr>
            <w:r>
              <w:rPr>
                <w:b/>
                <w:bCs/>
                <w:sz w:val="20"/>
                <w:szCs w:val="20"/>
              </w:rPr>
              <w:t>Principle</w:t>
            </w:r>
          </w:p>
          <w:p w14:paraId="09F920D3" w14:textId="77777777" w:rsidR="0041262E" w:rsidRDefault="00000000">
            <w:pPr>
              <w:spacing w:after="40"/>
            </w:pPr>
            <w:r>
              <w:rPr>
                <w:b/>
                <w:bCs/>
                <w:color w:val="1F3864"/>
                <w:sz w:val="32"/>
                <w:szCs w:val="32"/>
              </w:rPr>
              <w:t>5</w:t>
            </w:r>
          </w:p>
        </w:tc>
        <w:tc>
          <w:tcPr>
            <w:tcW w:w="7826"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tcPr>
          <w:p w14:paraId="356D0563" w14:textId="77777777" w:rsidR="0041262E" w:rsidRDefault="00000000">
            <w:pPr>
              <w:spacing w:after="100"/>
            </w:pPr>
            <w:r>
              <w:rPr>
                <w:b/>
                <w:bCs/>
                <w:sz w:val="24"/>
                <w:szCs w:val="24"/>
              </w:rPr>
              <w:t>Closed-Loop Data Currency: Keeping Shared Data Alive (Optional)</w:t>
            </w:r>
          </w:p>
          <w:p w14:paraId="32746C6D" w14:textId="77777777" w:rsidR="0041262E" w:rsidRDefault="00000000">
            <w:pPr>
              <w:spacing w:after="60"/>
            </w:pPr>
            <w:r>
              <w:t>The first four principles ensure that data is captured well, shared with consent, confirmed as current, and delivered at scale. This fifth principle addresses what happens over time: when citizen data changes.  When a citizen amends an answer that was pre-populated from another regime — a new address, a change in circumstances — the originating department can, with the citizen’s explicit permission, be notified automatically. Whether that department acts on the notification depends on its own scheme rules: it might trigger a reassessment, be logged for the next review, or be noted but treated as irrelevant. But the information flows to those who need it, without manual process.  This transforms the model from a one-way data-sharing mechanism into a living data fabric. Citizens who prefer to limit their data footprint can simply decline this permission; the core model continues to function without it. Citizens who wish to stay compliant across multiple regimes without the burden of reporting changes separately to each department gain a powerful tool for doing so. Principle 5 is an enhancement to the model, not a dependency of it.</w:t>
            </w:r>
          </w:p>
        </w:tc>
      </w:tr>
    </w:tbl>
    <w:p w14:paraId="6B47425A" w14:textId="77777777" w:rsidR="0041262E" w:rsidRDefault="0041262E">
      <w:pPr>
        <w:spacing w:after="80"/>
      </w:pPr>
    </w:p>
    <w:p w14:paraId="27C97879" w14:textId="77777777" w:rsidR="0041262E" w:rsidRDefault="0041262E">
      <w:pPr>
        <w:spacing w:after="80"/>
      </w:pPr>
    </w:p>
    <w:p w14:paraId="771F8482" w14:textId="77777777" w:rsidR="0041262E" w:rsidRDefault="00000000">
      <w:pPr>
        <w:pStyle w:val="Heading1"/>
      </w:pPr>
      <w:r>
        <w:t>4. How the Principles Work Together: A Citizen’s Journey</w:t>
      </w:r>
    </w:p>
    <w:p w14:paraId="0F2B652B" w14:textId="77777777" w:rsidR="0041262E" w:rsidRDefault="00000000">
      <w:pPr>
        <w:spacing w:after="160"/>
      </w:pPr>
      <w:r>
        <w:t>The power of the model is best illustrated through a concrete example. Consider a citizen — call her Sarah — who has recently been widowed and needs to complete an Inheritance Tax return. She may also need to apply for a Bereavement Support Payment from DWP. Under the current model, she fills in two entirely separate forms, re-entering the same information twice, with no connection between them.</w:t>
      </w:r>
    </w:p>
    <w:p w14:paraId="0ED4D281" w14:textId="77777777" w:rsidR="0041262E" w:rsidRDefault="00000000">
      <w:pPr>
        <w:spacing w:after="160"/>
      </w:pPr>
      <w:r>
        <w:t>Under the new model:</w:t>
      </w:r>
    </w:p>
    <w:p w14:paraId="159C54F7" w14:textId="77777777" w:rsidR="0041262E" w:rsidRDefault="00000000">
      <w:pPr>
        <w:pStyle w:val="ListParagraph"/>
        <w:numPr>
          <w:ilvl w:val="0"/>
          <w:numId w:val="2"/>
        </w:numPr>
        <w:spacing w:after="100"/>
      </w:pPr>
      <w:r>
        <w:t>Sarah logs in and chooses the Inheritance Tax regime. The system identifies that she has previously completed a Universal Credit claim and asks — once, clearly — whether she consents to her existing answers being offered as suggestions when completing this new form.</w:t>
      </w:r>
    </w:p>
    <w:p w14:paraId="297440C1" w14:textId="77777777" w:rsidR="0041262E" w:rsidRDefault="00000000">
      <w:pPr>
        <w:pStyle w:val="ListParagraph"/>
        <w:numPr>
          <w:ilvl w:val="0"/>
          <w:numId w:val="2"/>
        </w:numPr>
        <w:spacing w:after="100"/>
      </w:pPr>
      <w:r>
        <w:t>Sarah proceeds through the Inheritance Tax regime one section at a time. Each section covers a coherent subject — bank accounts, property, land holdings — and presents no more than fifteen questions. At the end of each section, she sees all her answers together on a single check your answers screen, has the opportunity to amend any of them, and confirms the section as a whole.</w:t>
      </w:r>
    </w:p>
    <w:p w14:paraId="6BE4E85A" w14:textId="77777777" w:rsidR="0041262E" w:rsidRDefault="00000000">
      <w:pPr>
        <w:pStyle w:val="ListParagraph"/>
        <w:numPr>
          <w:ilvl w:val="0"/>
          <w:numId w:val="2"/>
        </w:numPr>
        <w:spacing w:after="100"/>
      </w:pPr>
      <w:r>
        <w:lastRenderedPageBreak/>
        <w:t>Where a question has been answered in a previous regime — her address, her date of birth, her National Insurance number — her previous answer is shown as a suggested default. She can accept it with a single click, or correct it. Either way, her answer is freshly recorded with today’s date. The system does not assume her address is still the same; it asks her to confirm.</w:t>
      </w:r>
    </w:p>
    <w:p w14:paraId="47B2C665" w14:textId="77777777" w:rsidR="0041262E" w:rsidRDefault="00000000">
      <w:pPr>
        <w:pStyle w:val="ListParagraph"/>
        <w:numPr>
          <w:ilvl w:val="0"/>
          <w:numId w:val="2"/>
        </w:numPr>
        <w:spacing w:after="100"/>
      </w:pPr>
      <w:r>
        <w:t>Sarah’s late husband’s estate includes agricultural land. She grants her land agent permission to complete the land section of the form on her behalf — but not the bank account sections. The land agent logs in, selects Sarah as the person he is acting for, and completes only the sections to which he has been granted access. His identity is recorded against every answer he provides. Sarah can see what he has entered before she confirms the section.</w:t>
      </w:r>
    </w:p>
    <w:p w14:paraId="3071FAB7" w14:textId="77777777" w:rsidR="0041262E" w:rsidRDefault="00000000">
      <w:pPr>
        <w:pStyle w:val="ListParagraph"/>
        <w:numPr>
          <w:ilvl w:val="0"/>
          <w:numId w:val="2"/>
        </w:numPr>
        <w:spacing w:after="100"/>
      </w:pPr>
      <w:r>
        <w:t>Sarah completes the form. When she later begins the Bereavement Support Payment claim, she is again offered her confirmed answers as suggestions — including answers that were entered by her land agent on her behalf, now part of her confirmed record.</w:t>
      </w:r>
    </w:p>
    <w:p w14:paraId="1FAC1925" w14:textId="77777777" w:rsidR="0041262E" w:rsidRDefault="0041262E">
      <w:pPr>
        <w:spacing w:after="80"/>
      </w:pPr>
    </w:p>
    <w:p w14:paraId="284D720A" w14:textId="77777777" w:rsidR="0041262E" w:rsidRDefault="00000000">
      <w:pPr>
        <w:spacing w:after="160"/>
      </w:pPr>
      <w:r>
        <w:t>This journey is not a utopian vision. Every element of it has been demonstrated in a working proof of concept. The model is validated. What remains is to build it at scale.</w:t>
      </w:r>
    </w:p>
    <w:p w14:paraId="3E1CBC0E" w14:textId="77777777" w:rsidR="0041262E" w:rsidRDefault="00000000">
      <w:pPr>
        <w:pStyle w:val="Heading1"/>
      </w:pPr>
      <w:r>
        <w:t>5. First Mover, First Gainer: How the Model Grows</w:t>
      </w:r>
    </w:p>
    <w:p w14:paraId="6F67376E" w14:textId="77777777" w:rsidR="0041262E" w:rsidRDefault="00000000">
      <w:pPr>
        <w:spacing w:after="160"/>
      </w:pPr>
      <w:r>
        <w:t>Most cross-government data initiatives fail for a structural reason that has nothing to do with technology: they require broad agreement before anyone can start. A shared data standard, a cross-departmental consent framework, a common identifier — each requires every participant to commit before any participant benefits. The result is a negotiation that outlasts the political will that initiated it.</w:t>
      </w:r>
    </w:p>
    <w:p w14:paraId="65C668B3" w14:textId="77777777" w:rsidR="0041262E" w:rsidRDefault="00000000">
      <w:pPr>
        <w:spacing w:after="160"/>
      </w:pPr>
      <w:r>
        <w:t>This model inverts that property entirely. The incentive structure is different from the outset, and it remains different at every stage of adoption.</w:t>
      </w:r>
    </w:p>
    <w:p w14:paraId="07AB910B" w14:textId="77777777" w:rsidR="0041262E" w:rsidRDefault="00000000">
      <w:pPr>
        <w:spacing w:after="160"/>
      </w:pPr>
      <w:r>
        <w:t>A single department that adopts the model across just two of its own regimes gains an immediate and tangible benefit: citizens moving between those two regimes no longer re-enter data they have already provided. That benefit is real, it is visible to citizens, and it costs nothing in inter-departmental negotiation. It requires only that the department configures both regimes on the shared platform.</w:t>
      </w:r>
    </w:p>
    <w:p w14:paraId="5BE809B1" w14:textId="77777777" w:rsidR="0041262E" w:rsidRDefault="00000000">
      <w:pPr>
        <w:spacing w:after="160"/>
      </w:pPr>
      <w:r>
        <w:t>From that starting point, the gains compound:</w:t>
      </w:r>
    </w:p>
    <w:p w14:paraId="6FC8BC11" w14:textId="77777777" w:rsidR="0041262E" w:rsidRDefault="00000000">
      <w:pPr>
        <w:pStyle w:val="ListParagraph"/>
        <w:numPr>
          <w:ilvl w:val="0"/>
          <w:numId w:val="3"/>
        </w:numPr>
        <w:spacing w:after="100"/>
      </w:pPr>
      <w:r>
        <w:t>Each additional regime the same department adopts extends the benefit further — more questions pre-populated, more citizen effort saved, more data confirmed as current rather than re-entered from scratch.</w:t>
      </w:r>
    </w:p>
    <w:p w14:paraId="02E3C02E" w14:textId="77777777" w:rsidR="0041262E" w:rsidRDefault="00000000">
      <w:pPr>
        <w:pStyle w:val="ListParagraph"/>
        <w:numPr>
          <w:ilvl w:val="0"/>
          <w:numId w:val="3"/>
        </w:numPr>
        <w:spacing w:after="100"/>
      </w:pPr>
      <w:r>
        <w:t>When a second department adopts the model, it gains the same internal benefits independently. No agreement with the first department is required to reach this point.</w:t>
      </w:r>
    </w:p>
    <w:p w14:paraId="76505CAE" w14:textId="77777777" w:rsidR="0041262E" w:rsidRDefault="00000000">
      <w:pPr>
        <w:pStyle w:val="ListParagraph"/>
        <w:numPr>
          <w:ilvl w:val="0"/>
          <w:numId w:val="3"/>
        </w:numPr>
        <w:spacing w:after="100"/>
      </w:pPr>
      <w:r>
        <w:t xml:space="preserve">Once two departments are on the platform and a citizen has consented to cross-departmental sharing, both departments gain an additional benefit: answers confirmed in one department’s regimes can be offered as suggestions in the </w:t>
      </w:r>
      <w:proofErr w:type="gramStart"/>
      <w:r>
        <w:t>other’s</w:t>
      </w:r>
      <w:proofErr w:type="gramEnd"/>
      <w:r>
        <w:t>. The citizen’s address, confirmed last month for a DWP claim, is available as a suggestion when completing an HMRC return.</w:t>
      </w:r>
    </w:p>
    <w:p w14:paraId="0400735B" w14:textId="77777777" w:rsidR="0041262E" w:rsidRDefault="00000000">
      <w:pPr>
        <w:pStyle w:val="ListParagraph"/>
        <w:numPr>
          <w:ilvl w:val="0"/>
          <w:numId w:val="3"/>
        </w:numPr>
        <w:spacing w:after="100"/>
      </w:pPr>
      <w:r>
        <w:t>That cross-departmental benefit grows with every further department that joins. Each new participant adds to the pool of confirmed data available to every other participant, for every citizen who has consented.</w:t>
      </w:r>
    </w:p>
    <w:p w14:paraId="20562315" w14:textId="77777777" w:rsidR="0041262E" w:rsidRDefault="0041262E">
      <w:pPr>
        <w:spacing w:after="80"/>
      </w:pPr>
    </w:p>
    <w:p w14:paraId="238C98E0" w14:textId="77777777" w:rsidR="0041262E" w:rsidRDefault="00000000">
      <w:pPr>
        <w:spacing w:after="160"/>
      </w:pPr>
      <w:r>
        <w:lastRenderedPageBreak/>
        <w:t>This is a network effect — but one with an unusual and important property. Most network effects require a minimum viable scale before any participant benefits. This one pays from the first regime. The first mover is also the first gainer. And because each subsequent adoption increases the benefit to all existing participants, the incentive to join grows as the network grows rather than requiring a leap of faith into an empty system.</w:t>
      </w:r>
    </w:p>
    <w:p w14:paraId="63D17E59" w14:textId="77777777" w:rsidR="0041262E" w:rsidRDefault="00000000">
      <w:pPr>
        <w:spacing w:after="160"/>
      </w:pPr>
      <w:r>
        <w:t>The practical consequence is that this model can be introduced incrementally, without a big-bang commitment. A single department can pilot it on two regimes, demonstrate the citizen benefit, and build the case for wider adoption from evidence rather than assertion. The programme does not depend on pan-government agreement to start. It depends only on one department being willing to go first.</w:t>
      </w:r>
    </w:p>
    <w:p w14:paraId="76E90647" w14:textId="77777777" w:rsidR="0041262E" w:rsidRDefault="00000000">
      <w:pPr>
        <w:pBdr>
          <w:left w:val="single" w:sz="18" w:space="8" w:color="2E75B6"/>
        </w:pBdr>
        <w:spacing w:before="200" w:after="200"/>
        <w:ind w:left="480" w:right="480"/>
      </w:pPr>
      <w:r>
        <w:rPr>
          <w:b/>
          <w:bCs/>
          <w:i/>
          <w:iCs/>
        </w:rPr>
        <w:t>The model pays from day one. Each new participant increases the benefit to all existing ones. No prior cross-government agreement is required to begin.</w:t>
      </w:r>
    </w:p>
    <w:p w14:paraId="64A2CBD9" w14:textId="77777777" w:rsidR="0041262E" w:rsidRDefault="00000000">
      <w:pPr>
        <w:pStyle w:val="Heading1"/>
      </w:pPr>
      <w:r>
        <w:t>6. The Conceptual Architecture</w:t>
      </w:r>
    </w:p>
    <w:p w14:paraId="54733FFD" w14:textId="77777777" w:rsidR="0041262E" w:rsidRDefault="00000000">
      <w:pPr>
        <w:pStyle w:val="Heading2"/>
      </w:pPr>
      <w:r>
        <w:t>6.1 Regimes, Schedules and Sections</w:t>
      </w:r>
    </w:p>
    <w:p w14:paraId="3CC75C46" w14:textId="77777777" w:rsidR="00AE1E87"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t>A regime is a self-contained public service — Inheritance Tax, Universal Credit, a customs authorisation. Each regime is subdivided into schedules (logical groupings of related topics) and sections (the unit of citizen interaction). A section covers a single coherent subject and contains no more than approximately fifteen questions — a constraint that is both good UX practice and an architectural discipline that keeps the system manageable.</w:t>
      </w:r>
    </w:p>
    <w:p w14:paraId="472BC1D8" w14:textId="77777777" w:rsidR="00AE1E87"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t>This hierarchy — regime, schedule, section — serves double duty. It organises the citizen's journey through a regime. And it defines the granularity at which permissions are granted: a citizen can give their land agent access to the land section without granting access to their financial sections. The navigation structure and the permission structure are the same structure.</w:t>
      </w:r>
    </w:p>
    <w:p w14:paraId="56E6ACD3" w14:textId="77777777" w:rsidR="0041262E" w:rsidRDefault="00000000">
      <w:pPr>
        <w:pStyle w:val="Heading2"/>
      </w:pPr>
      <w:r>
        <w:t>6.2 Questions and Routing</w:t>
      </w:r>
    </w:p>
    <w:p w14:paraId="4B0C9A46" w14:textId="77777777" w:rsidR="00AE1E87"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t>Questions are defined once in a single shared question bank and reused across regimes. A question about National Insurance number, or date of birth, or address, is the same question wherever it appears — which is both why a citizen's previous answer can be offered as a suggestion in a new regime, and why a change to a question's wording propagates automatically across every regime that uses it.</w:t>
      </w:r>
    </w:p>
    <w:p w14:paraId="667B8CDF" w14:textId="64EE888F" w:rsidR="0041262E"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t>The sequence in which questions are asked — including any conditional branching based on the citizen's answers — is held as a simple table of rules, not embedded in code. A policy analyst can read it. A civil servant can amend it: adding a question, changing a branch condition, redirecting a flow. A new regime can be stood up, and an existing one changed, without a development sprint. This is what Principle 3 means in practice.</w:t>
      </w:r>
    </w:p>
    <w:p w14:paraId="2CD82D71" w14:textId="32BCF4E6" w:rsidR="0041262E" w:rsidRDefault="00000000">
      <w:pPr>
        <w:pStyle w:val="Heading2"/>
      </w:pPr>
      <w:r>
        <w:t>6.</w:t>
      </w:r>
      <w:r w:rsidR="00AE1E87">
        <w:t>3</w:t>
      </w:r>
      <w:r>
        <w:t xml:space="preserve"> Permissions and Delegation</w:t>
      </w:r>
    </w:p>
    <w:p w14:paraId="514D3BDF" w14:textId="77777777" w:rsidR="00AE1E87"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t xml:space="preserve">Citizens and organisations can grant others the right to act on their behalf, at section level. A solicitor can be granted access to a probate section but not a financial section. A firm can be granted access, with a named partner who can in turn delegate to individual staff — but only if the original grant included delegation rights. Every grant </w:t>
      </w:r>
      <w:proofErr w:type="gramStart"/>
      <w:r w:rsidRPr="00AE1E87">
        <w:rPr>
          <w:rFonts w:asciiTheme="minorBidi" w:hAnsiTheme="minorBidi" w:cstheme="minorBidi"/>
          <w:color w:val="000000"/>
          <w:sz w:val="22"/>
          <w:szCs w:val="22"/>
        </w:rPr>
        <w:t>records</w:t>
      </w:r>
      <w:proofErr w:type="gramEnd"/>
      <w:r w:rsidRPr="00AE1E87">
        <w:rPr>
          <w:rFonts w:asciiTheme="minorBidi" w:hAnsiTheme="minorBidi" w:cstheme="minorBidi"/>
          <w:color w:val="000000"/>
          <w:sz w:val="22"/>
          <w:szCs w:val="22"/>
        </w:rPr>
        <w:t xml:space="preserve"> who made it, creating an auditable delegation chain.</w:t>
      </w:r>
    </w:p>
    <w:p w14:paraId="1AFEAC5C" w14:textId="77777777" w:rsidR="00AE1E87" w:rsidRPr="00AE1E87" w:rsidRDefault="00AE1E87" w:rsidP="00AE1E87">
      <w:pPr>
        <w:pStyle w:val="font-claude-response-body"/>
        <w:rPr>
          <w:rFonts w:asciiTheme="minorBidi" w:hAnsiTheme="minorBidi" w:cstheme="minorBidi"/>
          <w:color w:val="000000"/>
          <w:sz w:val="22"/>
          <w:szCs w:val="22"/>
        </w:rPr>
      </w:pPr>
      <w:r w:rsidRPr="00AE1E87">
        <w:rPr>
          <w:rFonts w:asciiTheme="minorBidi" w:hAnsiTheme="minorBidi" w:cstheme="minorBidi"/>
          <w:color w:val="000000"/>
          <w:sz w:val="22"/>
          <w:szCs w:val="22"/>
        </w:rPr>
        <w:lastRenderedPageBreak/>
        <w:t>This model supports the full range of real-world intermediary relationships — individual accountants, large professional services firms, land agents, solicitors — without requiring a separate technical solution for each relationship type.</w:t>
      </w:r>
    </w:p>
    <w:p w14:paraId="60E1F2A5" w14:textId="77777777" w:rsidR="00AE1E87" w:rsidRDefault="00AE1E87">
      <w:pPr>
        <w:pStyle w:val="Heading2"/>
      </w:pPr>
    </w:p>
    <w:p w14:paraId="05D2D200" w14:textId="77777777" w:rsidR="0041262E" w:rsidRDefault="00000000">
      <w:pPr>
        <w:pStyle w:val="Heading1"/>
      </w:pPr>
      <w:r>
        <w:t>7. What This Changes</w:t>
      </w:r>
    </w:p>
    <w:p w14:paraId="03CF0C8A" w14:textId="77777777" w:rsidR="0041262E" w:rsidRDefault="00000000">
      <w:pPr>
        <w:spacing w:after="160"/>
      </w:pPr>
      <w:r>
        <w:t>The model does not replace existing policy. It does not change what information government needs from citizens. What it changes is the operating model through which that information is gathered, shared and maintained.</w:t>
      </w:r>
    </w:p>
    <w:p w14:paraId="3920C900" w14:textId="77777777" w:rsidR="0041262E" w:rsidRDefault="004126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62E" w14:paraId="14D66E78" w14:textId="77777777">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9CBC7B0" w14:textId="77777777" w:rsidR="0041262E" w:rsidRDefault="00000000">
            <w:pPr>
              <w:spacing w:after="60"/>
            </w:pPr>
            <w:r>
              <w:rPr>
                <w:b/>
                <w:bCs/>
                <w:color w:val="FFFFFF"/>
                <w:sz w:val="24"/>
                <w:szCs w:val="24"/>
              </w:rPr>
              <w:t>Today</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B877BD" w14:textId="77777777" w:rsidR="0041262E" w:rsidRDefault="00000000">
            <w:pPr>
              <w:spacing w:after="60"/>
            </w:pPr>
            <w:r>
              <w:rPr>
                <w:b/>
                <w:bCs/>
                <w:color w:val="FFFFFF"/>
                <w:sz w:val="24"/>
                <w:szCs w:val="24"/>
              </w:rPr>
              <w:t>Under the new model</w:t>
            </w:r>
          </w:p>
        </w:tc>
      </w:tr>
      <w:tr w:rsidR="0041262E" w14:paraId="407263F5" w14:textId="77777777">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58BF26" w14:textId="77777777" w:rsidR="0041262E" w:rsidRDefault="00000000">
            <w:pPr>
              <w:spacing w:after="60"/>
            </w:pPr>
            <w:r>
              <w:t>Citizens answer the same questions repeatedly across regimes</w:t>
            </w:r>
          </w:p>
        </w:tc>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A9C835" w14:textId="77777777" w:rsidR="0041262E" w:rsidRDefault="00000000">
            <w:pPr>
              <w:spacing w:after="60"/>
            </w:pPr>
            <w:r>
              <w:t xml:space="preserve">Citizens confirm </w:t>
            </w:r>
            <w:proofErr w:type="gramStart"/>
            <w:r>
              <w:t>previously-given</w:t>
            </w:r>
            <w:proofErr w:type="gramEnd"/>
            <w:r>
              <w:t xml:space="preserve"> answers with a single click, or correct them if they have changed</w:t>
            </w:r>
          </w:p>
        </w:tc>
      </w:tr>
      <w:tr w:rsidR="0041262E" w14:paraId="4CFA3B62" w14:textId="77777777">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7F7196FA" w14:textId="77777777" w:rsidR="0041262E" w:rsidRDefault="00000000">
            <w:pPr>
              <w:spacing w:after="60"/>
            </w:pPr>
            <w:r>
              <w:t>Each regime page is hand-crafted by specialist developers</w:t>
            </w:r>
          </w:p>
        </w:tc>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43B9E104" w14:textId="77777777" w:rsidR="0041262E" w:rsidRDefault="00000000">
            <w:pPr>
              <w:spacing w:after="60"/>
            </w:pPr>
            <w:r>
              <w:t>GDS-compliant pages are generated from a small library of reusable templates, configured by civil servants</w:t>
            </w:r>
          </w:p>
        </w:tc>
      </w:tr>
      <w:tr w:rsidR="0041262E" w14:paraId="06BA2314" w14:textId="77777777">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C4EBC7" w14:textId="77777777" w:rsidR="0041262E" w:rsidRDefault="00000000">
            <w:pPr>
              <w:spacing w:after="60"/>
            </w:pPr>
            <w:r>
              <w:t>Data sharing requires departmental agreements and legal gateways</w:t>
            </w:r>
          </w:p>
        </w:tc>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960E94" w14:textId="77777777" w:rsidR="0041262E" w:rsidRDefault="00000000">
            <w:pPr>
              <w:spacing w:after="60"/>
            </w:pPr>
            <w:r>
              <w:t>Data sharing is enabled by citizen consent, given at the point of need</w:t>
            </w:r>
          </w:p>
        </w:tc>
      </w:tr>
      <w:tr w:rsidR="0041262E" w14:paraId="7A74C66D" w14:textId="77777777">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DE06B8B" w14:textId="77777777" w:rsidR="0041262E" w:rsidRDefault="00000000">
            <w:pPr>
              <w:spacing w:after="60"/>
            </w:pPr>
            <w:r>
              <w:t>Policy changes require development sprints</w:t>
            </w:r>
          </w:p>
        </w:tc>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158A6C98" w14:textId="77777777" w:rsidR="0041262E" w:rsidRDefault="00000000">
            <w:pPr>
              <w:spacing w:after="60"/>
            </w:pPr>
            <w:r>
              <w:t>Policy changes are data operations, made directly by policy and operations teams</w:t>
            </w:r>
          </w:p>
        </w:tc>
      </w:tr>
      <w:tr w:rsidR="0041262E" w14:paraId="0A7FA7BC" w14:textId="77777777">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ED412D" w14:textId="77777777" w:rsidR="0041262E" w:rsidRDefault="00000000">
            <w:pPr>
              <w:spacing w:after="60"/>
            </w:pPr>
            <w:r>
              <w:t>Intermediary access is all-or-nothing at regime level</w:t>
            </w:r>
          </w:p>
        </w:tc>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EA45AB" w14:textId="77777777" w:rsidR="0041262E" w:rsidRDefault="00000000">
            <w:pPr>
              <w:spacing w:after="60"/>
            </w:pPr>
            <w:r>
              <w:t>Intermediary access is granted at section level, with full delegation chain and audit trail</w:t>
            </w:r>
          </w:p>
        </w:tc>
      </w:tr>
      <w:tr w:rsidR="0041262E" w14:paraId="32757045" w14:textId="77777777">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5E529F60" w14:textId="77777777" w:rsidR="0041262E" w:rsidRDefault="00000000">
            <w:pPr>
              <w:spacing w:after="60"/>
            </w:pPr>
            <w:r>
              <w:t>Answer provenance is often lost</w:t>
            </w:r>
          </w:p>
        </w:tc>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14:paraId="22B91C0A" w14:textId="77777777" w:rsidR="0041262E" w:rsidRDefault="00000000">
            <w:pPr>
              <w:spacing w:after="60"/>
            </w:pPr>
            <w:r>
              <w:t>Every answer carries its full provenance: who, on whose behalf, when, from which regime</w:t>
            </w:r>
          </w:p>
        </w:tc>
      </w:tr>
      <w:tr w:rsidR="0041262E" w14:paraId="2C1DB595" w14:textId="77777777">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60C93A" w14:textId="77777777" w:rsidR="0041262E" w:rsidRDefault="00000000">
            <w:pPr>
              <w:spacing w:after="60"/>
            </w:pPr>
            <w:r>
              <w:t>Changes in circumstances must be reported separately to each department</w:t>
            </w:r>
          </w:p>
        </w:tc>
        <w:tc>
          <w:tcPr>
            <w:tcW w:w="451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149ED2" w14:textId="77777777" w:rsidR="0041262E" w:rsidRDefault="00000000">
            <w:pPr>
              <w:spacing w:after="60"/>
            </w:pPr>
            <w:r>
              <w:t>With citizen permission, an amendment in one regime notifies affected departments automatically — keeping shared data current without additional citizen effort (optional)</w:t>
            </w:r>
          </w:p>
        </w:tc>
      </w:tr>
    </w:tbl>
    <w:p w14:paraId="0ACBE010" w14:textId="77777777" w:rsidR="0041262E" w:rsidRDefault="0041262E">
      <w:pPr>
        <w:spacing w:after="80"/>
      </w:pPr>
    </w:p>
    <w:p w14:paraId="4A5F6B80" w14:textId="77777777" w:rsidR="0041262E" w:rsidRDefault="0041262E">
      <w:pPr>
        <w:spacing w:after="80"/>
      </w:pPr>
    </w:p>
    <w:p w14:paraId="49ABF55A" w14:textId="77777777" w:rsidR="0041262E" w:rsidRDefault="00000000">
      <w:pPr>
        <w:pStyle w:val="Heading1"/>
      </w:pPr>
      <w:r>
        <w:t>8. The Road Ahead</w:t>
      </w:r>
    </w:p>
    <w:p w14:paraId="64F04E17" w14:textId="77777777" w:rsidR="0041262E" w:rsidRDefault="00000000">
      <w:pPr>
        <w:spacing w:after="160"/>
      </w:pPr>
      <w:r>
        <w:t>This document describes a model, not a product. The model has been validated in a working proof of concept that exercises all five principles across multiple representative regimes. The PoC demonstrates that the conceptual architecture is technically coherent and that the citizen journey it enables is genuinely better than the status quo.</w:t>
      </w:r>
    </w:p>
    <w:p w14:paraId="71F0C4BC" w14:textId="77777777" w:rsidR="0041262E" w:rsidRDefault="00000000">
      <w:pPr>
        <w:spacing w:after="160"/>
      </w:pPr>
      <w:r>
        <w:lastRenderedPageBreak/>
        <w:t>The next step is to instantiate the model on an enterprise platform capable of supporting it at national scale — with the security, reliability and accessibility standards that public services demand. A companion technical specification sets out how this might be achieved, including a detailed feasibility assessment and component architecture.</w:t>
      </w:r>
    </w:p>
    <w:p w14:paraId="3CB84E38" w14:textId="77777777" w:rsidR="0041262E" w:rsidRDefault="00000000">
      <w:pPr>
        <w:spacing w:after="160"/>
      </w:pPr>
      <w:r>
        <w:t>But the technology is secondary. The primary question is one of will: whether government is prepared to adopt a shared operating model in place of the silo architecture that has dominated digital public services for two decades. The evidence from the PoC is that the model works, that citizens would benefit from it, and that the cost of building it is modest relative to the cost — financial and human — of the status quo.</w:t>
      </w:r>
    </w:p>
    <w:p w14:paraId="059D7FCE" w14:textId="77777777" w:rsidR="0041262E" w:rsidRDefault="00000000">
      <w:pPr>
        <w:pBdr>
          <w:left w:val="single" w:sz="18" w:space="8" w:color="2E75B6"/>
        </w:pBdr>
        <w:spacing w:before="200" w:after="200"/>
        <w:ind w:left="480" w:right="480"/>
      </w:pPr>
      <w:r>
        <w:rPr>
          <w:b/>
          <w:bCs/>
          <w:i/>
          <w:iCs/>
        </w:rPr>
        <w:t>The model is validated. The journey is clear. What is needed now is commitment to a different way of building public services — one that puts the citizen’s data, and the citizen’s consent, at the centre.</w:t>
      </w:r>
    </w:p>
    <w:p w14:paraId="063CC3ED" w14:textId="77777777" w:rsidR="0041262E" w:rsidRDefault="0041262E">
      <w:pPr>
        <w:spacing w:after="80"/>
      </w:pPr>
    </w:p>
    <w:p w14:paraId="64351684" w14:textId="77777777" w:rsidR="0041262E" w:rsidRDefault="0041262E">
      <w:pPr>
        <w:pBdr>
          <w:top w:val="single" w:sz="6" w:space="4" w:color="CCCCCC"/>
        </w:pBdr>
        <w:spacing w:before="200" w:after="80"/>
      </w:pPr>
    </w:p>
    <w:p w14:paraId="63ADA15D" w14:textId="77777777" w:rsidR="0041262E" w:rsidRDefault="00000000">
      <w:pPr>
        <w:spacing w:after="40"/>
      </w:pPr>
      <w:r>
        <w:rPr>
          <w:i/>
          <w:iCs/>
          <w:color w:val="888888"/>
          <w:sz w:val="20"/>
          <w:szCs w:val="20"/>
        </w:rPr>
        <w:t>DRAFT FOR DISCUSSION — Not for wider circulation</w:t>
      </w:r>
    </w:p>
    <w:sectPr w:rsidR="0041262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DF938" w14:textId="77777777" w:rsidR="009C058D" w:rsidRDefault="009C058D">
      <w:r>
        <w:separator/>
      </w:r>
    </w:p>
  </w:endnote>
  <w:endnote w:type="continuationSeparator" w:id="0">
    <w:p w14:paraId="65106FC1" w14:textId="77777777" w:rsidR="009C058D" w:rsidRDefault="009C0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BE32" w14:textId="77777777" w:rsidR="0041262E" w:rsidRDefault="00000000">
    <w:pPr>
      <w:pBdr>
        <w:top w:val="single" w:sz="6" w:space="1" w:color="2E75B6"/>
      </w:pBdr>
      <w:tabs>
        <w:tab w:val="right" w:pos="9026"/>
      </w:tabs>
    </w:pPr>
    <w:r>
      <w:rPr>
        <w:color w:val="888888"/>
        <w:sz w:val="18"/>
        <w:szCs w:val="18"/>
      </w:rPr>
      <w:t xml:space="preserve">Version </w:t>
    </w:r>
    <w:proofErr w:type="gramStart"/>
    <w:r>
      <w:rPr>
        <w:color w:val="888888"/>
        <w:sz w:val="18"/>
        <w:szCs w:val="18"/>
      </w:rPr>
      <w:t>2.0  |</w:t>
    </w:r>
    <w:proofErr w:type="gramEnd"/>
    <w:r>
      <w:rPr>
        <w:color w:val="888888"/>
        <w:sz w:val="18"/>
        <w:szCs w:val="18"/>
      </w:rPr>
      <w:t xml:space="preserve">  March </w:t>
    </w:r>
    <w:proofErr w:type="gramStart"/>
    <w:r>
      <w:rPr>
        <w:color w:val="888888"/>
        <w:sz w:val="18"/>
        <w:szCs w:val="18"/>
      </w:rPr>
      <w:t>2026  |</w:t>
    </w:r>
    <w:proofErr w:type="gramEnd"/>
    <w:r>
      <w:rPr>
        <w:color w:val="888888"/>
        <w:sz w:val="18"/>
        <w:szCs w:val="18"/>
      </w:rPr>
      <w:t xml:space="preserve">  DRAFT FOR DISCUSSION</w:t>
    </w:r>
    <w:r>
      <w:rPr>
        <w:sz w:val="18"/>
        <w:szCs w:val="18"/>
      </w:rPr>
      <w:tab/>
    </w:r>
    <w:r>
      <w:rPr>
        <w:color w:val="888888"/>
        <w:sz w:val="18"/>
        <w:szCs w:val="18"/>
      </w:rPr>
      <w:t xml:space="preserve">Page </w:t>
    </w:r>
    <w:r>
      <w:fldChar w:fldCharType="begin"/>
    </w:r>
    <w:r>
      <w:instrText>PAGE</w:instrText>
    </w:r>
    <w:r>
      <w:fldChar w:fldCharType="separate"/>
    </w:r>
    <w:r w:rsidR="00057C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7895" w14:textId="77777777" w:rsidR="009C058D" w:rsidRDefault="009C058D">
      <w:r>
        <w:separator/>
      </w:r>
    </w:p>
  </w:footnote>
  <w:footnote w:type="continuationSeparator" w:id="0">
    <w:p w14:paraId="27501FDA" w14:textId="77777777" w:rsidR="009C058D" w:rsidRDefault="009C0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D33A" w14:textId="77777777" w:rsidR="0041262E" w:rsidRDefault="00000000">
    <w:pPr>
      <w:pBdr>
        <w:bottom w:val="single" w:sz="6" w:space="1" w:color="2E75B6"/>
      </w:pBdr>
    </w:pPr>
    <w:r>
      <w:rPr>
        <w:color w:val="888888"/>
        <w:sz w:val="18"/>
        <w:szCs w:val="18"/>
      </w:rPr>
      <w:t xml:space="preserve">A New Operating Model for Citizen–Government Data </w:t>
    </w:r>
    <w:proofErr w:type="gramStart"/>
    <w:r>
      <w:rPr>
        <w:color w:val="888888"/>
        <w:sz w:val="18"/>
        <w:szCs w:val="18"/>
      </w:rPr>
      <w:t>Exchange  |</w:t>
    </w:r>
    <w:proofErr w:type="gramEnd"/>
    <w:r>
      <w:rPr>
        <w:color w:val="888888"/>
        <w:sz w:val="18"/>
        <w:szCs w:val="18"/>
      </w:rPr>
      <w:t xml:space="preserve">  Vision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4E66"/>
    <w:multiLevelType w:val="hybridMultilevel"/>
    <w:tmpl w:val="DF1607C4"/>
    <w:lvl w:ilvl="0" w:tplc="417A37C0">
      <w:start w:val="1"/>
      <w:numFmt w:val="bullet"/>
      <w:lvlText w:val="•"/>
      <w:lvlJc w:val="left"/>
      <w:pPr>
        <w:ind w:left="720" w:hanging="360"/>
      </w:pPr>
    </w:lvl>
    <w:lvl w:ilvl="1" w:tplc="15800C76">
      <w:numFmt w:val="decimal"/>
      <w:lvlText w:val=""/>
      <w:lvlJc w:val="left"/>
    </w:lvl>
    <w:lvl w:ilvl="2" w:tplc="4ADC2A38">
      <w:numFmt w:val="decimal"/>
      <w:lvlText w:val=""/>
      <w:lvlJc w:val="left"/>
    </w:lvl>
    <w:lvl w:ilvl="3" w:tplc="FC2847D0">
      <w:numFmt w:val="decimal"/>
      <w:lvlText w:val=""/>
      <w:lvlJc w:val="left"/>
    </w:lvl>
    <w:lvl w:ilvl="4" w:tplc="79E830D8">
      <w:numFmt w:val="decimal"/>
      <w:lvlText w:val=""/>
      <w:lvlJc w:val="left"/>
    </w:lvl>
    <w:lvl w:ilvl="5" w:tplc="15CCA1A2">
      <w:numFmt w:val="decimal"/>
      <w:lvlText w:val=""/>
      <w:lvlJc w:val="left"/>
    </w:lvl>
    <w:lvl w:ilvl="6" w:tplc="5BAE8A44">
      <w:numFmt w:val="decimal"/>
      <w:lvlText w:val=""/>
      <w:lvlJc w:val="left"/>
    </w:lvl>
    <w:lvl w:ilvl="7" w:tplc="FCEC751E">
      <w:numFmt w:val="decimal"/>
      <w:lvlText w:val=""/>
      <w:lvlJc w:val="left"/>
    </w:lvl>
    <w:lvl w:ilvl="8" w:tplc="5A84E5DE">
      <w:numFmt w:val="decimal"/>
      <w:lvlText w:val=""/>
      <w:lvlJc w:val="left"/>
    </w:lvl>
  </w:abstractNum>
  <w:abstractNum w:abstractNumId="1" w15:restartNumberingAfterBreak="0">
    <w:nsid w:val="52DB71B1"/>
    <w:multiLevelType w:val="hybridMultilevel"/>
    <w:tmpl w:val="E17A81A8"/>
    <w:lvl w:ilvl="0" w:tplc="791CB43A">
      <w:start w:val="1"/>
      <w:numFmt w:val="decimal"/>
      <w:lvlText w:val="%1."/>
      <w:lvlJc w:val="left"/>
      <w:pPr>
        <w:ind w:left="720" w:hanging="360"/>
      </w:pPr>
    </w:lvl>
    <w:lvl w:ilvl="1" w:tplc="95CE9460">
      <w:numFmt w:val="decimal"/>
      <w:lvlText w:val=""/>
      <w:lvlJc w:val="left"/>
    </w:lvl>
    <w:lvl w:ilvl="2" w:tplc="9ABEDBF6">
      <w:numFmt w:val="decimal"/>
      <w:lvlText w:val=""/>
      <w:lvlJc w:val="left"/>
    </w:lvl>
    <w:lvl w:ilvl="3" w:tplc="F4922816">
      <w:numFmt w:val="decimal"/>
      <w:lvlText w:val=""/>
      <w:lvlJc w:val="left"/>
    </w:lvl>
    <w:lvl w:ilvl="4" w:tplc="5140747A">
      <w:numFmt w:val="decimal"/>
      <w:lvlText w:val=""/>
      <w:lvlJc w:val="left"/>
    </w:lvl>
    <w:lvl w:ilvl="5" w:tplc="FDB46772">
      <w:numFmt w:val="decimal"/>
      <w:lvlText w:val=""/>
      <w:lvlJc w:val="left"/>
    </w:lvl>
    <w:lvl w:ilvl="6" w:tplc="1AD02604">
      <w:numFmt w:val="decimal"/>
      <w:lvlText w:val=""/>
      <w:lvlJc w:val="left"/>
    </w:lvl>
    <w:lvl w:ilvl="7" w:tplc="E514D2B4">
      <w:numFmt w:val="decimal"/>
      <w:lvlText w:val=""/>
      <w:lvlJc w:val="left"/>
    </w:lvl>
    <w:lvl w:ilvl="8" w:tplc="C17EA742">
      <w:numFmt w:val="decimal"/>
      <w:lvlText w:val=""/>
      <w:lvlJc w:val="left"/>
    </w:lvl>
  </w:abstractNum>
  <w:abstractNum w:abstractNumId="2" w15:restartNumberingAfterBreak="0">
    <w:nsid w:val="6F56162A"/>
    <w:multiLevelType w:val="hybridMultilevel"/>
    <w:tmpl w:val="F74A9ADA"/>
    <w:lvl w:ilvl="0" w:tplc="09FEB36C">
      <w:start w:val="1"/>
      <w:numFmt w:val="bullet"/>
      <w:lvlText w:val="●"/>
      <w:lvlJc w:val="left"/>
      <w:pPr>
        <w:ind w:left="720" w:hanging="360"/>
      </w:pPr>
    </w:lvl>
    <w:lvl w:ilvl="1" w:tplc="BA7CABFE">
      <w:start w:val="1"/>
      <w:numFmt w:val="bullet"/>
      <w:lvlText w:val="○"/>
      <w:lvlJc w:val="left"/>
      <w:pPr>
        <w:ind w:left="1440" w:hanging="360"/>
      </w:pPr>
    </w:lvl>
    <w:lvl w:ilvl="2" w:tplc="D5387FF0">
      <w:start w:val="1"/>
      <w:numFmt w:val="bullet"/>
      <w:lvlText w:val="■"/>
      <w:lvlJc w:val="left"/>
      <w:pPr>
        <w:ind w:left="2160" w:hanging="360"/>
      </w:pPr>
    </w:lvl>
    <w:lvl w:ilvl="3" w:tplc="8C62202C">
      <w:start w:val="1"/>
      <w:numFmt w:val="bullet"/>
      <w:lvlText w:val="●"/>
      <w:lvlJc w:val="left"/>
      <w:pPr>
        <w:ind w:left="2880" w:hanging="360"/>
      </w:pPr>
    </w:lvl>
    <w:lvl w:ilvl="4" w:tplc="8B5E1F28">
      <w:start w:val="1"/>
      <w:numFmt w:val="bullet"/>
      <w:lvlText w:val="○"/>
      <w:lvlJc w:val="left"/>
      <w:pPr>
        <w:ind w:left="3600" w:hanging="360"/>
      </w:pPr>
    </w:lvl>
    <w:lvl w:ilvl="5" w:tplc="ACF0EA6A">
      <w:start w:val="1"/>
      <w:numFmt w:val="bullet"/>
      <w:lvlText w:val="■"/>
      <w:lvlJc w:val="left"/>
      <w:pPr>
        <w:ind w:left="4320" w:hanging="360"/>
      </w:pPr>
    </w:lvl>
    <w:lvl w:ilvl="6" w:tplc="8872E314">
      <w:start w:val="1"/>
      <w:numFmt w:val="bullet"/>
      <w:lvlText w:val="●"/>
      <w:lvlJc w:val="left"/>
      <w:pPr>
        <w:ind w:left="5040" w:hanging="360"/>
      </w:pPr>
    </w:lvl>
    <w:lvl w:ilvl="7" w:tplc="0E2E5B3C">
      <w:start w:val="1"/>
      <w:numFmt w:val="bullet"/>
      <w:lvlText w:val="●"/>
      <w:lvlJc w:val="left"/>
      <w:pPr>
        <w:ind w:left="5760" w:hanging="360"/>
      </w:pPr>
    </w:lvl>
    <w:lvl w:ilvl="8" w:tplc="820432DC">
      <w:start w:val="1"/>
      <w:numFmt w:val="bullet"/>
      <w:lvlText w:val="●"/>
      <w:lvlJc w:val="left"/>
      <w:pPr>
        <w:ind w:left="6480" w:hanging="360"/>
      </w:pPr>
    </w:lvl>
  </w:abstractNum>
  <w:num w:numId="1" w16cid:durableId="1185093044">
    <w:abstractNumId w:val="2"/>
    <w:lvlOverride w:ilvl="0">
      <w:startOverride w:val="1"/>
    </w:lvlOverride>
  </w:num>
  <w:num w:numId="2" w16cid:durableId="1825271617">
    <w:abstractNumId w:val="1"/>
    <w:lvlOverride w:ilvl="0">
      <w:startOverride w:val="1"/>
    </w:lvlOverride>
  </w:num>
  <w:num w:numId="3" w16cid:durableId="1668054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62E"/>
    <w:rsid w:val="00057C6E"/>
    <w:rsid w:val="00084F12"/>
    <w:rsid w:val="0041262E"/>
    <w:rsid w:val="005F6A60"/>
    <w:rsid w:val="00770EEE"/>
    <w:rsid w:val="009C058D"/>
    <w:rsid w:val="00AE1E87"/>
    <w:rsid w:val="00C43984"/>
    <w:rsid w:val="00E802FD"/>
    <w:rsid w:val="00ED663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B507F67"/>
  <w15:docId w15:val="{262C42B2-F10D-E742-98BB-317546C1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AE1E8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2617</Words>
  <Characters>15574</Characters>
  <Application>Microsoft Office Word</Application>
  <DocSecurity>0</DocSecurity>
  <Lines>1112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Devereux</cp:lastModifiedBy>
  <cp:revision>3</cp:revision>
  <dcterms:created xsi:type="dcterms:W3CDTF">2026-05-07T13:10:00Z</dcterms:created>
  <dcterms:modified xsi:type="dcterms:W3CDTF">2026-05-07T13:12:00Z</dcterms:modified>
</cp:coreProperties>
</file>